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80" w:line="252" w:lineRule="auto"/>
      </w:pPr>
      <w:r>
        <w:rPr>
          <w:b w:val="0"/>
        </w:rPr>
        <w:t>Paid media change approval policy</w:t>
      </w:r>
    </w:p>
    <w:p>
      <w:pPr>
        <w:spacing w:before="0" w:after="0" w:line="252" w:lineRule="auto"/>
      </w:pPr>
      <w:r>
        <w:rPr>
          <w:b w:val="0"/>
        </w:rPr>
        <w:t xml:space="preserve">Company: </w:t>
      </w:r>
      <w:r>
        <w:rPr>
          <w:b w:val="0"/>
          <w:highlight w:val="yellow"/>
        </w:rPr>
        <w:t>[name]</w:t>
      </w:r>
      <w:r>
        <w:rPr>
          <w:b w:val="0"/>
        </w:rPr>
        <w:t xml:space="preserve"> · Version: </w:t>
      </w:r>
      <w:r>
        <w:rPr>
          <w:b w:val="0"/>
          <w:highlight w:val="yellow"/>
        </w:rPr>
        <w:t>[1.0]</w:t>
      </w:r>
      <w:r>
        <w:rPr>
          <w:b w:val="0"/>
        </w:rPr>
        <w:t xml:space="preserve"> · Policy owner: </w:t>
      </w:r>
      <w:r>
        <w:rPr>
          <w:b w:val="0"/>
          <w:highlight w:val="yellow"/>
        </w:rPr>
        <w:t>[Head of Performance]</w:t>
      </w:r>
    </w:p>
    <w:p>
      <w:pPr>
        <w:spacing w:before="0" w:after="120" w:line="252" w:lineRule="auto"/>
      </w:pPr>
      <w:r>
        <w:rPr>
          <w:b w:val="0"/>
        </w:rPr>
        <w:t xml:space="preserve">Approved by: </w:t>
      </w:r>
      <w:r>
        <w:rPr>
          <w:b w:val="0"/>
          <w:highlight w:val="yellow"/>
        </w:rPr>
        <w:t>[name, date]</w:t>
      </w:r>
      <w:r>
        <w:rPr>
          <w:b w:val="0"/>
        </w:rPr>
        <w:t xml:space="preserve"> · Next review: </w:t>
      </w:r>
      <w:r>
        <w:rPr>
          <w:b w:val="0"/>
          <w:highlight w:val="yellow"/>
        </w:rPr>
        <w:t>[date + 3 months]</w:t>
      </w:r>
    </w:p>
    <w:p>
      <w:pPr>
        <w:spacing w:before="0" w:after="120" w:line="252" w:lineRule="auto"/>
        <w:shd w:val="clear" w:color="auto" w:fill="EAF1F7"/>
      </w:pPr>
      <w:r>
        <w:rPr>
          <w:b w:val="0"/>
          <w:sz w:val="17"/>
        </w:rPr>
        <w:t xml:space="preserve">Before you fill this in, set the numbers from your last 90 days of change history. If fewer than about 70 to 80% of those changes would have been Class 0, the limits are too tight. Notes and platform sources: </w:t>
      </w:r>
      <w:hyperlink r:id="rId10">
        <w:r>
          <w:rPr>
            <w:color w:val="1B4F9C"/>
            <w:u w:val="single"/>
            <w:sz w:val="17"/>
          </w:rPr>
          <w:t>nupact.ai/guides/paid-media-approval-policy-template/</w:t>
        </w:r>
      </w:hyperlink>
      <w:r>
        <w:rPr>
          <w:b w:val="0"/>
          <w:sz w:val="17"/>
        </w:rPr>
        <w:t>. Delete this note before signing.</w:t>
      </w:r>
    </w:p>
    <w:p>
      <w:pPr>
        <w:pStyle w:val="Heading1"/>
        <w:keepNext/>
        <w:spacing w:before="120" w:after="40" w:line="252" w:lineRule="auto"/>
      </w:pPr>
      <w:r>
        <w:rPr>
          <w:b w:val="0"/>
        </w:rPr>
        <w:t>1. Purpose and scope</w:t>
      </w:r>
    </w:p>
    <w:p>
      <w:pPr>
        <w:spacing w:before="0" w:after="40" w:line="252" w:lineRule="auto"/>
      </w:pPr>
      <w:r>
        <w:rPr>
          <w:b w:val="0"/>
        </w:rPr>
        <w:t>This policy sets who may change what in our ad accounts, and which changes need someone else's approval first. Routine optimisation, including more budget for campaigns that beat their target, goes live without waiting. The few changes that can cost a lot of money get a second look before they run.</w:t>
      </w:r>
    </w:p>
    <w:p>
      <w:pPr>
        <w:spacing w:before="0" w:after="40" w:line="252" w:lineRule="auto"/>
      </w:pPr>
      <w:r>
        <w:rPr>
          <w:b w:val="0"/>
        </w:rPr>
        <w:t xml:space="preserve">Applies to: every ad account in Annex A on </w:t>
      </w:r>
      <w:r>
        <w:rPr>
          <w:b w:val="0"/>
          <w:highlight w:val="yellow"/>
        </w:rPr>
        <w:t>[Google Ads, Meta, TikTok, Amazon Ads, Microsoft Ads, DSPs]</w:t>
      </w:r>
      <w:r>
        <w:rPr>
          <w:b w:val="0"/>
        </w:rPr>
        <w:t>, and to every person, agency, automated rule, script, tool and AI agent with edit access.</w:t>
      </w:r>
    </w:p>
    <w:p>
      <w:pPr>
        <w:spacing w:before="0" w:after="40" w:line="252" w:lineRule="auto"/>
      </w:pPr>
      <w:r>
        <w:rPr>
          <w:b w:val="0"/>
        </w:rPr>
        <w:t>Not covered: creative and brand sign-off (</w:t>
      </w:r>
      <w:r>
        <w:rPr>
          <w:b w:val="0"/>
          <w:highlight w:val="yellow"/>
        </w:rPr>
        <w:t>[link]</w:t>
      </w:r>
      <w:r>
        <w:rPr>
          <w:b w:val="0"/>
        </w:rPr>
        <w:t>), legal review of claims (</w:t>
      </w:r>
      <w:r>
        <w:rPr>
          <w:b w:val="0"/>
          <w:highlight w:val="yellow"/>
        </w:rPr>
        <w:t>[link]</w:t>
      </w:r>
      <w:r>
        <w:rPr>
          <w:b w:val="0"/>
        </w:rPr>
        <w:t>).</w:t>
      </w:r>
    </w:p>
    <w:p>
      <w:pPr>
        <w:pStyle w:val="Heading1"/>
        <w:keepNext/>
        <w:spacing w:before="120" w:after="40" w:line="252" w:lineRule="auto"/>
      </w:pPr>
      <w:r>
        <w:rPr>
          <w:b w:val="0"/>
        </w:rPr>
        <w:t>2. Roles</w:t>
      </w:r>
    </w:p>
    <w:p>
      <w:pPr>
        <w:spacing w:before="0" w:after="40" w:line="252" w:lineRule="auto"/>
      </w:pPr>
      <w:r>
        <w:rPr>
          <w:b/>
        </w:rPr>
        <w:t>Budget owner:</w:t>
      </w:r>
      <w:r>
        <w:rPr>
          <w:b w:val="0"/>
        </w:rPr>
        <w:t xml:space="preserve"> </w:t>
      </w:r>
      <w:r>
        <w:rPr>
          <w:b w:val="0"/>
          <w:highlight w:val="yellow"/>
        </w:rPr>
        <w:t>[name]</w:t>
      </w:r>
      <w:r>
        <w:rPr>
          <w:b w:val="0"/>
        </w:rPr>
        <w:t>. Owns the monthly plan per channel. Approves Class 1. First approver on Class 2.</w:t>
      </w:r>
    </w:p>
    <w:p>
      <w:pPr>
        <w:spacing w:before="0" w:after="40" w:line="252" w:lineRule="auto"/>
      </w:pPr>
      <w:r>
        <w:rPr>
          <w:b/>
        </w:rPr>
        <w:t>Finance contact:</w:t>
      </w:r>
      <w:r>
        <w:rPr>
          <w:b w:val="0"/>
        </w:rPr>
        <w:t xml:space="preserve"> </w:t>
      </w:r>
      <w:r>
        <w:rPr>
          <w:b w:val="0"/>
          <w:highlight w:val="yellow"/>
        </w:rPr>
        <w:t>[name]</w:t>
      </w:r>
      <w:r>
        <w:rPr>
          <w:b w:val="0"/>
        </w:rPr>
        <w:t>. Second approver on Class 2. Owns platform spending caps and billing settings.</w:t>
      </w:r>
    </w:p>
    <w:p>
      <w:pPr>
        <w:spacing w:before="0" w:after="40" w:line="252" w:lineRule="auto"/>
      </w:pPr>
      <w:r>
        <w:rPr>
          <w:b/>
        </w:rPr>
        <w:t>Operators:</w:t>
      </w:r>
      <w:r>
        <w:rPr>
          <w:b w:val="0"/>
        </w:rPr>
        <w:t xml:space="preserve"> </w:t>
      </w:r>
      <w:r>
        <w:rPr>
          <w:b w:val="0"/>
          <w:highlight w:val="yellow"/>
        </w:rPr>
        <w:t>[names]</w:t>
      </w:r>
      <w:r>
        <w:rPr>
          <w:b w:val="0"/>
        </w:rPr>
        <w:t>. Make changes. May make Class 0 changes alone.</w:t>
      </w:r>
    </w:p>
    <w:p>
      <w:pPr>
        <w:spacing w:before="0" w:after="40" w:line="252" w:lineRule="auto"/>
      </w:pPr>
      <w:r>
        <w:rPr>
          <w:b/>
        </w:rPr>
        <w:t>Account admins:</w:t>
      </w:r>
      <w:r>
        <w:rPr>
          <w:b w:val="0"/>
        </w:rPr>
        <w:t xml:space="preserve"> </w:t>
      </w:r>
      <w:r>
        <w:rPr>
          <w:b w:val="0"/>
          <w:highlight w:val="yellow"/>
        </w:rPr>
        <w:t>[2 names at most]</w:t>
      </w:r>
      <w:r>
        <w:rPr>
          <w:b w:val="0"/>
        </w:rPr>
        <w:t>. The only people who add or remove users or change platform caps. Admins are not the people who make daily changes.</w:t>
      </w:r>
    </w:p>
    <w:p>
      <w:pPr>
        <w:spacing w:before="0" w:after="40" w:line="252" w:lineRule="auto"/>
      </w:pPr>
      <w:r>
        <w:rPr>
          <w:b/>
        </w:rPr>
        <w:t>Deputies:</w:t>
      </w:r>
      <w:r>
        <w:rPr>
          <w:b w:val="0"/>
        </w:rPr>
        <w:t xml:space="preserve"> each approver names a deputy for holidays: </w:t>
      </w:r>
      <w:r>
        <w:rPr>
          <w:b w:val="0"/>
          <w:highlight w:val="yellow"/>
        </w:rPr>
        <w:t>[names]</w:t>
      </w:r>
      <w:r>
        <w:rPr>
          <w:b w:val="0"/>
        </w:rPr>
        <w:t>.</w:t>
      </w:r>
    </w:p>
    <w:p>
      <w:pPr>
        <w:spacing w:before="0" w:after="40" w:line="252" w:lineRule="auto"/>
      </w:pPr>
      <w:r>
        <w:rPr>
          <w:b/>
        </w:rPr>
        <w:t>Agency setup:</w:t>
      </w:r>
      <w:r>
        <w:rPr>
          <w:b w:val="0"/>
        </w:rPr>
        <w:t xml:space="preserve"> admin rights stay with the client. Billing: </w:t>
      </w:r>
      <w:r>
        <w:rPr>
          <w:b w:val="0"/>
          <w:highlight w:val="yellow"/>
        </w:rPr>
        <w:t>[client pays the platforms directly / agency pays and re-invoices]</w:t>
      </w:r>
      <w:r>
        <w:rPr>
          <w:b w:val="0"/>
        </w:rPr>
        <w:t>. The agency gets edit access (Google Ads: Standard user access, or a manager-account link without ownership unless the agency is invoiced through it; Meta: partial access with the Manage campaigns task; TikTok: Operator; Amazon Ads: Editor). Google Ads Standard and TikTok Operator can also change billing or finance settings, so the finance contact checks those settings every month. Client marketing lead = budget owner. Client finance = finance contact. Agency account team = operators.</w:t>
      </w:r>
    </w:p>
    <w:p>
      <w:pPr>
        <w:pStyle w:val="Heading1"/>
        <w:keepNext/>
        <w:spacing w:before="120" w:after="40" w:line="252" w:lineRule="auto"/>
      </w:pPr>
      <w:r>
        <w:rPr>
          <w:b w:val="0"/>
        </w:rPr>
        <w:t>3. Change classes</w:t>
      </w:r>
    </w:p>
    <w:p>
      <w:pPr>
        <w:spacing w:before="0" w:after="40" w:line="252" w:lineRule="auto"/>
      </w:pPr>
      <w:r>
        <w:rPr>
          <w:b w:val="0"/>
        </w:rPr>
        <w:t xml:space="preserve">Measure each change per campaign, per ad set where the budget sits at ad set level, or per shared budget where one budget serves several campaigns, against the value at the start of the day. Where a class limit gives a percentage and a euro amount, the lower one applies. Increases under Classes 0 and 1 are allowed only while the channel's projected month (spend to date + current daily budgets × days left) stays within plan × </w:t>
      </w:r>
      <w:r>
        <w:rPr>
          <w:b w:val="0"/>
          <w:highlight w:val="yellow"/>
        </w:rPr>
        <w:t>[1.05]</w:t>
      </w:r>
      <w:r>
        <w:rPr>
          <w:b w:val="0"/>
        </w:rPr>
        <w:t xml:space="preserve"> and its daily budgets within the daily ceiling (Section 4); an increase that takes either above is Class 2. Cuts, pauses and changes that add no spend keep their class at any time. If the projected month passes plan × </w:t>
      </w:r>
      <w:r>
        <w:rPr>
          <w:b w:val="0"/>
          <w:highlight w:val="yellow"/>
        </w:rPr>
        <w:t>[1.05]</w:t>
      </w:r>
      <w:r>
        <w:rPr>
          <w:b w:val="0"/>
        </w:rPr>
        <w:t xml:space="preserve"> without a change, the budget owner brings it back under or asks for Class 2 within </w:t>
      </w:r>
      <w:r>
        <w:rPr>
          <w:b w:val="0"/>
          <w:highlight w:val="yellow"/>
        </w:rPr>
        <w:t>[1 working day]</w:t>
      </w:r>
      <w:r>
        <w:rPr>
          <w:b w:val="0"/>
        </w:rPr>
        <w:t xml:space="preserve">. Plan increases add up over the month, not counting Class 1 moves between platforms; more than </w:t>
      </w:r>
      <w:r>
        <w:rPr>
          <w:b w:val="0"/>
          <w:highlight w:val="yellow"/>
        </w:rPr>
        <w:t>[5]</w:t>
      </w:r>
      <w:r>
        <w:rPr>
          <w:b w:val="0"/>
        </w:rPr>
        <w:t xml:space="preserve">% or </w:t>
      </w:r>
      <w:r>
        <w:rPr>
          <w:b w:val="0"/>
          <w:highlight w:val="yellow"/>
        </w:rPr>
        <w:t>[€10,000]</w:t>
      </w:r>
      <w:r>
        <w:rPr>
          <w:b w:val="0"/>
        </w:rPr>
        <w:t xml:space="preserve"> in total is Class 2. At most one budget increase and one target change per campaign every </w:t>
      </w:r>
      <w:r>
        <w:rPr>
          <w:b w:val="0"/>
          <w:highlight w:val="yellow"/>
        </w:rPr>
        <w:t>[3]</w:t>
      </w:r>
      <w:r>
        <w:rPr>
          <w:b w:val="0"/>
        </w:rPr>
        <w:t xml:space="preserve"> days, cuts exempt; a second one inside that window waits or goes to Class 2. A move between campaigns counts as a cut plus an increase, and the increase sets the class. A move with no net increase keeps its class. If a change fits two classes, the higher class applies. Section 6 overrides every class. A change split into steps to stay under a threshold counts as one change.</w:t>
      </w:r>
    </w:p>
    <w:tbl>
      <w:tblPr>
        <w:tblStyle w:val="TableGrid"/>
        <w:tblW w:type="auto" w:w="0"/>
        <w:tblLook w:firstColumn="1" w:firstRow="1" w:lastColumn="0" w:lastRow="0" w:noHBand="0" w:noVBand="1" w:val="04A0"/>
        <w:tblCellMar>
          <w:top w:w="40" w:type="dxa"/>
          <w:bottom w:w="40" w:type="dxa"/>
          <w:left w:w="80" w:type="dxa"/>
          <w:right w:w="80" w:type="dxa"/>
        </w:tblCellMar>
      </w:tblPr>
      <w:tblGrid>
        <w:gridCol w:w="5103"/>
        <w:gridCol w:w="5103"/>
      </w:tblGrid>
      <w:tr>
        <w:tc>
          <w:tcPr>
            <w:tcW w:type="dxa" w:w="2211"/>
            <w:shd w:val="clear" w:color="auto" w:fill="F5F2EB"/>
          </w:tcPr>
          <w:p>
            <w:pPr>
              <w:spacing w:before="0" w:after="0" w:line="252" w:lineRule="auto"/>
            </w:pPr>
            <w:r>
              <w:rPr>
                <w:b/>
              </w:rPr>
              <w:t>Class 0.</w:t>
            </w:r>
            <w:r>
              <w:rPr>
                <w:b w:val="0"/>
              </w:rPr>
              <w:t xml:space="preserve"> No approval. Log it within </w:t>
            </w:r>
            <w:r>
              <w:rPr>
                <w:b w:val="0"/>
                <w:highlight w:val="yellow"/>
              </w:rPr>
              <w:t>[1 working day]</w:t>
            </w:r>
            <w:r>
              <w:rPr>
                <w:b w:val="0"/>
              </w:rPr>
              <w:t>.</w:t>
            </w:r>
          </w:p>
        </w:tc>
        <w:tc>
          <w:tcPr>
            <w:tcW w:type="dxa" w:w="7994"/>
          </w:tcPr>
          <w:p>
            <w:pPr>
              <w:spacing w:before="0" w:after="20" w:line="252" w:lineRule="auto"/>
              <w:ind w:left="170" w:hanging="170"/>
            </w:pPr>
            <w:r>
              <w:rPr>
                <w:b w:val="0"/>
              </w:rPr>
              <w:t>• Raising the budget of a campaign that beats its target (</w:t>
            </w:r>
            <w:r>
              <w:rPr>
                <w:b w:val="0"/>
                <w:highlight w:val="yellow"/>
              </w:rPr>
              <w:t>[CPA or ROAS]</w:t>
            </w:r>
            <w:r>
              <w:rPr>
                <w:b w:val="0"/>
              </w:rPr>
              <w:t xml:space="preserve">, measured in </w:t>
            </w:r>
            <w:r>
              <w:rPr>
                <w:b w:val="0"/>
                <w:highlight w:val="yellow"/>
              </w:rPr>
              <w:t>[platform reporting / GA4 / finance's numbers]</w:t>
            </w:r>
            <w:r>
              <w:rPr>
                <w:b w:val="0"/>
              </w:rPr>
              <w:t xml:space="preserve">) and is limited by budget: up to </w:t>
            </w:r>
            <w:r>
              <w:rPr>
                <w:b w:val="0"/>
                <w:highlight w:val="yellow"/>
              </w:rPr>
              <w:t>[15]</w:t>
            </w:r>
            <w:r>
              <w:rPr>
                <w:b w:val="0"/>
              </w:rPr>
              <w:t xml:space="preserve">% or </w:t>
            </w:r>
            <w:r>
              <w:rPr>
                <w:b w:val="0"/>
                <w:highlight w:val="yellow"/>
              </w:rPr>
              <w:t>[€500]</w:t>
            </w:r>
            <w:r>
              <w:rPr>
                <w:b w:val="0"/>
              </w:rPr>
              <w:t xml:space="preserve"> a day.</w:t>
            </w:r>
          </w:p>
          <w:p>
            <w:pPr>
              <w:spacing w:before="0" w:after="20" w:line="252" w:lineRule="auto"/>
              <w:ind w:left="170" w:hanging="170"/>
            </w:pPr>
            <w:r>
              <w:rPr>
                <w:b w:val="0"/>
              </w:rPr>
              <w:t>• Budget cuts of any size, except on protected campaigns.</w:t>
            </w:r>
          </w:p>
          <w:p>
            <w:pPr>
              <w:spacing w:before="0" w:after="20" w:line="252" w:lineRule="auto"/>
              <w:ind w:left="170" w:hanging="170"/>
            </w:pPr>
            <w:r>
              <w:rPr>
                <w:b w:val="0"/>
              </w:rPr>
              <w:t>• Bid, target CPA or target ROAS changes within ±</w:t>
            </w:r>
            <w:r>
              <w:rPr>
                <w:b w:val="0"/>
                <w:highlight w:val="yellow"/>
              </w:rPr>
              <w:t>[10]</w:t>
            </w:r>
            <w:r>
              <w:rPr>
                <w:b w:val="0"/>
              </w:rPr>
              <w:t>%.</w:t>
            </w:r>
          </w:p>
          <w:p>
            <w:pPr>
              <w:spacing w:before="0" w:after="20" w:line="252" w:lineRule="auto"/>
              <w:ind w:left="170" w:hanging="170"/>
            </w:pPr>
            <w:r>
              <w:rPr>
                <w:b w:val="0"/>
              </w:rPr>
              <w:t>• Pausing ads, keywords, ad groups or ad sets; adding negative keywords; excluding placements.</w:t>
            </w:r>
          </w:p>
          <w:p>
            <w:pPr>
              <w:spacing w:before="0" w:after="20" w:line="252" w:lineRule="auto"/>
              <w:ind w:left="170" w:hanging="170"/>
            </w:pPr>
            <w:r>
              <w:rPr>
                <w:b w:val="0"/>
              </w:rPr>
              <w:t>• Rotating creatives that are already approved.</w:t>
            </w:r>
          </w:p>
          <w:p>
            <w:pPr>
              <w:spacing w:before="0" w:after="20" w:line="252" w:lineRule="auto"/>
              <w:ind w:left="170" w:hanging="170"/>
            </w:pPr>
            <w:r>
              <w:rPr>
                <w:b w:val="0"/>
              </w:rPr>
              <w:t>• New ad sets or ad groups inside an approved test plan and budget.</w:t>
            </w:r>
          </w:p>
          <w:p>
            <w:pPr>
              <w:spacing w:before="0" w:after="20" w:line="252" w:lineRule="auto"/>
              <w:ind w:left="170" w:hanging="170"/>
            </w:pPr>
            <w:r>
              <w:rPr>
                <w:b w:val="0"/>
              </w:rPr>
              <w:t>• Moves between campaigns on one platform inside a pre-approved flex amount (Annex C).</w:t>
            </w:r>
          </w:p>
          <w:p>
            <w:pPr>
              <w:spacing w:before="0" w:after="20" w:line="252" w:lineRule="auto"/>
              <w:ind w:left="170" w:hanging="170"/>
            </w:pPr>
            <w:r>
              <w:rPr>
                <w:b w:val="0"/>
              </w:rPr>
              <w:t>• Resetting a platform cap to its approved value, and removing anyone's access (admins).</w:t>
            </w:r>
          </w:p>
        </w:tc>
      </w:tr>
      <w:tr>
        <w:tc>
          <w:tcPr>
            <w:tcW w:type="dxa" w:w="2211"/>
            <w:shd w:val="clear" w:color="auto" w:fill="F5F2EB"/>
          </w:tcPr>
          <w:p>
            <w:pPr>
              <w:spacing w:before="0" w:after="0" w:line="252" w:lineRule="auto"/>
            </w:pPr>
            <w:r>
              <w:rPr>
                <w:b/>
              </w:rPr>
              <w:t>Class 1.</w:t>
            </w:r>
            <w:r>
              <w:rPr>
                <w:b w:val="0"/>
              </w:rPr>
              <w:t xml:space="preserve"> One approval (budget owner) before the change goes live.</w:t>
            </w:r>
          </w:p>
        </w:tc>
        <w:tc>
          <w:tcPr>
            <w:tcW w:type="dxa" w:w="7994"/>
          </w:tcPr>
          <w:p>
            <w:pPr>
              <w:spacing w:before="0" w:after="20" w:line="252" w:lineRule="auto"/>
              <w:ind w:left="170" w:hanging="170"/>
            </w:pPr>
            <w:r>
              <w:rPr>
                <w:b w:val="0"/>
              </w:rPr>
              <w:t xml:space="preserve">• Any other budget increase, up to </w:t>
            </w:r>
            <w:r>
              <w:rPr>
                <w:b w:val="0"/>
                <w:highlight w:val="yellow"/>
              </w:rPr>
              <w:t>[50]</w:t>
            </w:r>
            <w:r>
              <w:rPr>
                <w:b w:val="0"/>
              </w:rPr>
              <w:t xml:space="preserve">% or </w:t>
            </w:r>
            <w:r>
              <w:rPr>
                <w:b w:val="0"/>
                <w:highlight w:val="yellow"/>
              </w:rPr>
              <w:t>[€2,000]</w:t>
            </w:r>
            <w:r>
              <w:rPr>
                <w:b w:val="0"/>
              </w:rPr>
              <w:t xml:space="preserve"> a day.</w:t>
            </w:r>
          </w:p>
          <w:p>
            <w:pPr>
              <w:spacing w:before="0" w:after="20" w:line="252" w:lineRule="auto"/>
              <w:ind w:left="170" w:hanging="170"/>
            </w:pPr>
            <w:r>
              <w:rPr>
                <w:b w:val="0"/>
              </w:rPr>
              <w:t xml:space="preserve">• Changing a channel's approved monthly plan by up to </w:t>
            </w:r>
            <w:r>
              <w:rPr>
                <w:b w:val="0"/>
                <w:highlight w:val="yellow"/>
              </w:rPr>
              <w:t>[5]</w:t>
            </w:r>
            <w:r>
              <w:rPr>
                <w:b w:val="0"/>
              </w:rPr>
              <w:t xml:space="preserve">% or </w:t>
            </w:r>
            <w:r>
              <w:rPr>
                <w:b w:val="0"/>
                <w:highlight w:val="yellow"/>
              </w:rPr>
              <w:t>[€10,000]</w:t>
            </w:r>
            <w:r>
              <w:rPr>
                <w:b w:val="0"/>
              </w:rPr>
              <w:t>, counting earlier plan increases this month.</w:t>
            </w:r>
          </w:p>
          <w:p>
            <w:pPr>
              <w:spacing w:before="0" w:after="20" w:line="252" w:lineRule="auto"/>
              <w:ind w:left="170" w:hanging="170"/>
            </w:pPr>
            <w:r>
              <w:rPr>
                <w:b w:val="0"/>
              </w:rPr>
              <w:t xml:space="preserve">• Moving money between platforms, which moves both channels' plans: up to </w:t>
            </w:r>
            <w:r>
              <w:rPr>
                <w:b w:val="0"/>
                <w:highlight w:val="yellow"/>
              </w:rPr>
              <w:t>[€5,000]</w:t>
            </w:r>
            <w:r>
              <w:rPr>
                <w:b w:val="0"/>
              </w:rPr>
              <w:t xml:space="preserve"> a month and </w:t>
            </w:r>
            <w:r>
              <w:rPr>
                <w:b w:val="0"/>
                <w:highlight w:val="yellow"/>
              </w:rPr>
              <w:t>[20]</w:t>
            </w:r>
            <w:r>
              <w:rPr>
                <w:b w:val="0"/>
              </w:rPr>
              <w:t>% of the receiving channel's plan.</w:t>
            </w:r>
          </w:p>
          <w:p>
            <w:pPr>
              <w:spacing w:before="0" w:after="20" w:line="252" w:lineRule="auto"/>
              <w:ind w:left="170" w:hanging="170"/>
            </w:pPr>
            <w:r>
              <w:rPr>
                <w:b w:val="0"/>
              </w:rPr>
              <w:t xml:space="preserve">• Changing a bid strategy, a target by more than </w:t>
            </w:r>
            <w:r>
              <w:rPr>
                <w:b w:val="0"/>
                <w:highlight w:val="yellow"/>
              </w:rPr>
              <w:t>[10]</w:t>
            </w:r>
            <w:r>
              <w:rPr>
                <w:b w:val="0"/>
              </w:rPr>
              <w:t>%, a conversion goal or an attribution setting.</w:t>
            </w:r>
          </w:p>
          <w:p>
            <w:pPr>
              <w:spacing w:before="0" w:after="20" w:line="252" w:lineRule="auto"/>
              <w:ind w:left="170" w:hanging="170"/>
            </w:pPr>
            <w:r>
              <w:rPr>
                <w:b w:val="0"/>
              </w:rPr>
              <w:t>• Changing conversion tracking: tags, pixel or Conversions API events, conversion values or value rules, consent settings.</w:t>
            </w:r>
          </w:p>
          <w:p>
            <w:pPr>
              <w:spacing w:before="0" w:after="20" w:line="252" w:lineRule="auto"/>
              <w:ind w:left="170" w:hanging="170"/>
            </w:pPr>
            <w:r>
              <w:rPr>
                <w:b w:val="0"/>
              </w:rPr>
              <w:t>• Launching a new campaign, or an ad set or ad group outside an approved test plan.</w:t>
            </w:r>
          </w:p>
          <w:p>
            <w:pPr>
              <w:spacing w:before="0" w:after="20" w:line="252" w:lineRule="auto"/>
              <w:ind w:left="170" w:hanging="170"/>
            </w:pPr>
            <w:r>
              <w:rPr>
                <w:b w:val="0"/>
              </w:rPr>
              <w:t>• New audiences, countries, languages, broad match, search partners or Display expansion.</w:t>
            </w:r>
          </w:p>
          <w:p>
            <w:pPr>
              <w:spacing w:before="0" w:after="20" w:line="252" w:lineRule="auto"/>
              <w:ind w:left="170" w:hanging="170"/>
            </w:pPr>
            <w:r>
              <w:rPr>
                <w:b w:val="0"/>
              </w:rPr>
              <w:t>• Switching on any automation: an auto-applied recommendation type, an automated rule, a script, a third-party tool or an AI agent with write access.</w:t>
            </w:r>
          </w:p>
          <w:p>
            <w:pPr>
              <w:spacing w:before="0" w:after="20" w:line="252" w:lineRule="auto"/>
              <w:ind w:left="170" w:hanging="170"/>
            </w:pPr>
            <w:r>
              <w:rPr>
                <w:b w:val="0"/>
              </w:rPr>
              <w:t>• Anything not listed in Class 0 or Class 2.</w:t>
            </w:r>
          </w:p>
        </w:tc>
      </w:tr>
      <w:tr>
        <w:tc>
          <w:tcPr>
            <w:tcW w:type="dxa" w:w="2211"/>
            <w:shd w:val="clear" w:color="auto" w:fill="F5F2EB"/>
          </w:tcPr>
          <w:p>
            <w:pPr>
              <w:spacing w:before="0" w:after="0" w:line="252" w:lineRule="auto"/>
            </w:pPr>
            <w:r>
              <w:rPr>
                <w:b/>
              </w:rPr>
              <w:t>Class 2.</w:t>
            </w:r>
            <w:r>
              <w:rPr>
                <w:b w:val="0"/>
              </w:rPr>
              <w:t xml:space="preserve"> Two approvals (budget owner and finance contact).</w:t>
            </w:r>
          </w:p>
        </w:tc>
        <w:tc>
          <w:tcPr>
            <w:tcW w:type="dxa" w:w="7994"/>
          </w:tcPr>
          <w:p>
            <w:pPr>
              <w:spacing w:before="0" w:after="20" w:line="252" w:lineRule="auto"/>
              <w:ind w:left="170" w:hanging="170"/>
            </w:pPr>
            <w:r>
              <w:rPr>
                <w:b w:val="0"/>
              </w:rPr>
              <w:t xml:space="preserve">• An increase that takes a channel's projected month above plan × </w:t>
            </w:r>
            <w:r>
              <w:rPr>
                <w:b w:val="0"/>
                <w:highlight w:val="yellow"/>
              </w:rPr>
              <w:t>[1.05]</w:t>
            </w:r>
            <w:r>
              <w:rPr>
                <w:b w:val="0"/>
              </w:rPr>
              <w:t>, or its daily budgets above its daily ceiling.</w:t>
            </w:r>
          </w:p>
          <w:p>
            <w:pPr>
              <w:spacing w:before="0" w:after="20" w:line="252" w:lineRule="auto"/>
              <w:ind w:left="170" w:hanging="170"/>
            </w:pPr>
            <w:r>
              <w:rPr>
                <w:b w:val="0"/>
              </w:rPr>
              <w:t xml:space="preserve">• Plan increases for a channel (Section 4) above </w:t>
            </w:r>
            <w:r>
              <w:rPr>
                <w:b w:val="0"/>
                <w:highlight w:val="yellow"/>
              </w:rPr>
              <w:t>[5]</w:t>
            </w:r>
            <w:r>
              <w:rPr>
                <w:b w:val="0"/>
              </w:rPr>
              <w:t xml:space="preserve">% or </w:t>
            </w:r>
            <w:r>
              <w:rPr>
                <w:b w:val="0"/>
                <w:highlight w:val="yellow"/>
              </w:rPr>
              <w:t>[€10,000]</w:t>
            </w:r>
            <w:r>
              <w:rPr>
                <w:b w:val="0"/>
              </w:rPr>
              <w:t xml:space="preserve"> in total this month, other than Class 1 moves between platforms.</w:t>
            </w:r>
          </w:p>
          <w:p>
            <w:pPr>
              <w:spacing w:before="0" w:after="20" w:line="252" w:lineRule="auto"/>
              <w:ind w:left="170" w:hanging="170"/>
            </w:pPr>
            <w:r>
              <w:rPr>
                <w:b w:val="0"/>
              </w:rPr>
              <w:t>• Budget increases above the Class 1 limits, and larger moves between platforms.</w:t>
            </w:r>
          </w:p>
          <w:p>
            <w:pPr>
              <w:spacing w:before="0" w:after="20" w:line="252" w:lineRule="auto"/>
              <w:ind w:left="170" w:hanging="170"/>
            </w:pPr>
            <w:r>
              <w:rPr>
                <w:b w:val="0"/>
              </w:rPr>
              <w:t>• Changing a platform spending cap or the daily ceiling multiplier (Section 4).</w:t>
            </w:r>
          </w:p>
          <w:p>
            <w:pPr>
              <w:spacing w:before="0" w:after="20" w:line="252" w:lineRule="auto"/>
              <w:ind w:left="170" w:hanging="170"/>
            </w:pPr>
            <w:r>
              <w:rPr>
                <w:b w:val="0"/>
              </w:rPr>
              <w:t>• A new channel, market or ad account.</w:t>
            </w:r>
          </w:p>
          <w:p>
            <w:pPr>
              <w:spacing w:before="0" w:after="20" w:line="252" w:lineRule="auto"/>
              <w:ind w:left="170" w:hanging="170"/>
            </w:pPr>
            <w:r>
              <w:rPr>
                <w:b w:val="0"/>
              </w:rPr>
              <w:t xml:space="preserve">• Budget, bid strategy, targeting or status changes to protected campaigns: </w:t>
            </w:r>
            <w:r>
              <w:rPr>
                <w:b w:val="0"/>
                <w:highlight w:val="yellow"/>
              </w:rPr>
              <w:t>[Brand Search, ...]</w:t>
            </w:r>
            <w:r>
              <w:rPr>
                <w:b w:val="0"/>
              </w:rPr>
              <w:t xml:space="preserve"> (Annex A).</w:t>
            </w:r>
          </w:p>
          <w:p>
            <w:pPr>
              <w:spacing w:before="0" w:after="20" w:line="252" w:lineRule="auto"/>
              <w:ind w:left="170" w:hanging="170"/>
            </w:pPr>
            <w:r>
              <w:rPr>
                <w:b w:val="0"/>
              </w:rPr>
              <w:t>• Giving anyone edit or admin access.</w:t>
            </w:r>
          </w:p>
        </w:tc>
      </w:tr>
    </w:tbl>
    <w:p>
      <w:pPr>
        <w:spacing w:before="0" w:after="0" w:line="144" w:lineRule="auto"/>
      </w:pPr>
    </w:p>
    <w:p>
      <w:pPr>
        <w:spacing w:before="0" w:after="40" w:line="252" w:lineRule="auto"/>
      </w:pPr>
      <w:r>
        <w:rPr>
          <w:b w:val="0"/>
        </w:rPr>
        <w:t xml:space="preserve">How to ask: post in </w:t>
      </w:r>
      <w:r>
        <w:rPr>
          <w:b w:val="0"/>
          <w:highlight w:val="yellow"/>
        </w:rPr>
        <w:t>[#paid-media-approvals]</w:t>
      </w:r>
      <w:r>
        <w:rPr>
          <w:b w:val="0"/>
        </w:rPr>
        <w:t xml:space="preserve"> with the log fields from Section 7. "Approved" plus the log ID counts as an approval.</w:t>
      </w:r>
    </w:p>
    <w:p>
      <w:pPr>
        <w:spacing w:before="0" w:after="40" w:line="252" w:lineRule="auto"/>
      </w:pPr>
      <w:r>
        <w:rPr>
          <w:b w:val="0"/>
        </w:rPr>
        <w:t xml:space="preserve">Turnaround: Class 1 within </w:t>
      </w:r>
      <w:r>
        <w:rPr>
          <w:b w:val="0"/>
          <w:highlight w:val="yellow"/>
        </w:rPr>
        <w:t>[4 working hours]</w:t>
      </w:r>
      <w:r>
        <w:rPr>
          <w:b w:val="0"/>
        </w:rPr>
        <w:t xml:space="preserve">; Class 2 within </w:t>
      </w:r>
      <w:r>
        <w:rPr>
          <w:b w:val="0"/>
          <w:highlight w:val="yellow"/>
        </w:rPr>
        <w:t>[1 working day]</w:t>
      </w:r>
      <w:r>
        <w:rPr>
          <w:b w:val="0"/>
        </w:rPr>
        <w:t>. A scale-up request still waiting after that goes to the deputy.</w:t>
      </w:r>
    </w:p>
    <w:p>
      <w:pPr>
        <w:pStyle w:val="Heading1"/>
        <w:keepNext/>
        <w:spacing w:before="120" w:after="40" w:line="252" w:lineRule="auto"/>
      </w:pPr>
      <w:r>
        <w:rPr>
          <w:b w:val="0"/>
        </w:rPr>
        <w:t>4. Spend guardrails</w:t>
      </w:r>
    </w:p>
    <w:tbl>
      <w:tblPr>
        <w:tblStyle w:val="TableGrid"/>
        <w:tblW w:type="auto" w:w="0"/>
        <w:jc w:val="left"/>
        <w:tblLook w:firstColumn="1" w:firstRow="1" w:lastColumn="0" w:lastRow="0" w:noHBand="0" w:noVBand="1" w:val="04A0"/>
        <w:tblCellMar>
          <w:top w:w="40" w:type="dxa"/>
          <w:bottom w:w="40" w:type="dxa"/>
          <w:left w:w="80" w:type="dxa"/>
          <w:right w:w="80" w:type="dxa"/>
        </w:tblCellMar>
      </w:tblPr>
      <w:tblGrid>
        <w:gridCol w:w="2041"/>
        <w:gridCol w:w="2041"/>
        <w:gridCol w:w="2041"/>
        <w:gridCol w:w="2041"/>
        <w:gridCol w:w="2041"/>
      </w:tblGrid>
      <w:tr>
        <w:tc>
          <w:tcPr>
            <w:tcW w:type="dxa" w:w="1701"/>
            <w:shd w:val="clear" w:color="auto" w:fill="EFEBE2"/>
          </w:tcPr>
          <w:p>
            <w:pPr>
              <w:spacing w:before="0" w:after="0" w:line="252" w:lineRule="auto"/>
            </w:pPr>
            <w:r>
              <w:rPr>
                <w:b/>
                <w:sz w:val="17"/>
              </w:rPr>
              <w:t>Channel</w:t>
            </w:r>
          </w:p>
        </w:tc>
        <w:tc>
          <w:tcPr>
            <w:tcW w:type="dxa" w:w="2041"/>
            <w:shd w:val="clear" w:color="auto" w:fill="EFEBE2"/>
          </w:tcPr>
          <w:p>
            <w:pPr>
              <w:spacing w:before="0" w:after="0" w:line="252" w:lineRule="auto"/>
            </w:pPr>
            <w:r>
              <w:rPr>
                <w:b/>
                <w:sz w:val="17"/>
              </w:rPr>
              <w:t>Monthly plan</w:t>
            </w:r>
          </w:p>
        </w:tc>
        <w:tc>
          <w:tcPr>
            <w:tcW w:type="dxa" w:w="2154"/>
            <w:shd w:val="clear" w:color="auto" w:fill="EFEBE2"/>
          </w:tcPr>
          <w:p>
            <w:pPr>
              <w:spacing w:before="0" w:after="0" w:line="252" w:lineRule="auto"/>
            </w:pPr>
            <w:r>
              <w:rPr>
                <w:b/>
                <w:sz w:val="17"/>
              </w:rPr>
              <w:t>Platform cap</w:t>
            </w:r>
          </w:p>
        </w:tc>
        <w:tc>
          <w:tcPr>
            <w:tcW w:type="dxa" w:w="1814"/>
            <w:shd w:val="clear" w:color="auto" w:fill="EFEBE2"/>
          </w:tcPr>
          <w:p>
            <w:pPr>
              <w:spacing w:before="0" w:after="0" w:line="252" w:lineRule="auto"/>
            </w:pPr>
            <w:r>
              <w:rPr>
                <w:b/>
                <w:sz w:val="17"/>
              </w:rPr>
              <w:t>Daily ceiling</w:t>
            </w:r>
          </w:p>
        </w:tc>
        <w:tc>
          <w:tcPr>
            <w:tcW w:type="dxa" w:w="2494"/>
            <w:shd w:val="clear" w:color="auto" w:fill="EFEBE2"/>
          </w:tcPr>
          <w:p>
            <w:pPr>
              <w:spacing w:before="0" w:after="0" w:line="252" w:lineRule="auto"/>
            </w:pPr>
            <w:r>
              <w:rPr>
                <w:b/>
                <w:sz w:val="17"/>
              </w:rPr>
              <w:t>Winner raise without approval</w:t>
            </w:r>
          </w:p>
        </w:tc>
      </w:tr>
      <w:tr>
        <w:tc>
          <w:tcPr>
            <w:tcW w:type="dxa" w:w="1701"/>
          </w:tcPr>
          <w:p>
            <w:pPr>
              <w:spacing w:before="0" w:after="0" w:line="252" w:lineRule="auto"/>
            </w:pPr>
            <w:r>
              <w:rPr>
                <w:b w:val="0"/>
                <w:sz w:val="17"/>
              </w:rPr>
              <w:t>Google Ads</w:t>
            </w:r>
          </w:p>
        </w:tc>
        <w:tc>
          <w:tcPr>
            <w:tcW w:type="dxa" w:w="2041"/>
          </w:tcPr>
          <w:p>
            <w:pPr>
              <w:spacing w:before="0" w:after="0" w:line="252" w:lineRule="auto"/>
            </w:pPr>
            <w:r>
              <w:rPr>
                <w:b w:val="0"/>
                <w:sz w:val="17"/>
                <w:highlight w:val="yellow"/>
              </w:rPr>
              <w:t>[€120,000]</w:t>
            </w:r>
          </w:p>
        </w:tc>
        <w:tc>
          <w:tcPr>
            <w:tcW w:type="dxa" w:w="2154"/>
          </w:tcPr>
          <w:p>
            <w:pPr>
              <w:spacing w:before="0" w:after="0" w:line="252" w:lineRule="auto"/>
            </w:pPr>
            <w:r>
              <w:rPr>
                <w:b w:val="0"/>
                <w:sz w:val="17"/>
                <w:highlight w:val="yellow"/>
              </w:rPr>
              <w:t>[plan × 1.05]</w:t>
            </w:r>
          </w:p>
        </w:tc>
        <w:tc>
          <w:tcPr>
            <w:tcW w:type="dxa" w:w="1814"/>
          </w:tcPr>
          <w:p>
            <w:pPr>
              <w:spacing w:before="0" w:after="0" w:line="252" w:lineRule="auto"/>
            </w:pPr>
            <w:r>
              <w:rPr>
                <w:b w:val="0"/>
                <w:sz w:val="17"/>
                <w:highlight w:val="yellow"/>
              </w:rPr>
              <w:t>[€6,000]</w:t>
            </w:r>
          </w:p>
        </w:tc>
        <w:tc>
          <w:tcPr>
            <w:tcW w:type="dxa" w:w="2494"/>
          </w:tcPr>
          <w:p>
            <w:pPr>
              <w:spacing w:before="0" w:after="0" w:line="252" w:lineRule="auto"/>
            </w:pPr>
            <w:r>
              <w:rPr>
                <w:b w:val="0"/>
                <w:sz w:val="17"/>
              </w:rPr>
              <w:t>+</w:t>
            </w:r>
            <w:r>
              <w:rPr>
                <w:b w:val="0"/>
                <w:sz w:val="17"/>
                <w:highlight w:val="yellow"/>
              </w:rPr>
              <w:t>[15]</w:t>
            </w:r>
            <w:r>
              <w:rPr>
                <w:b w:val="0"/>
                <w:sz w:val="17"/>
              </w:rPr>
              <w:t xml:space="preserve">%, max </w:t>
            </w:r>
            <w:r>
              <w:rPr>
                <w:b w:val="0"/>
                <w:sz w:val="17"/>
                <w:highlight w:val="yellow"/>
              </w:rPr>
              <w:t>[€500]</w:t>
            </w:r>
          </w:p>
        </w:tc>
      </w:tr>
      <w:tr>
        <w:tc>
          <w:tcPr>
            <w:tcW w:type="dxa" w:w="1701"/>
          </w:tcPr>
          <w:p>
            <w:pPr>
              <w:spacing w:before="0" w:after="0" w:line="252" w:lineRule="auto"/>
            </w:pPr>
            <w:r>
              <w:rPr>
                <w:b w:val="0"/>
                <w:sz w:val="17"/>
              </w:rPr>
              <w:t>Meta</w:t>
            </w:r>
          </w:p>
        </w:tc>
        <w:tc>
          <w:tcPr>
            <w:tcW w:type="dxa" w:w="2041"/>
          </w:tcPr>
          <w:p>
            <w:pPr>
              <w:spacing w:before="0" w:after="0" w:line="252" w:lineRule="auto"/>
            </w:pPr>
            <w:r>
              <w:rPr>
                <w:b w:val="0"/>
                <w:sz w:val="17"/>
                <w:highlight w:val="yellow"/>
              </w:rPr>
              <w:t>[€90,000]</w:t>
            </w:r>
          </w:p>
        </w:tc>
        <w:tc>
          <w:tcPr>
            <w:tcW w:type="dxa" w:w="2154"/>
          </w:tcPr>
          <w:p>
            <w:pPr>
              <w:spacing w:before="0" w:after="0" w:line="252" w:lineRule="auto"/>
            </w:pPr>
            <w:r>
              <w:rPr>
                <w:b w:val="0"/>
                <w:sz w:val="17"/>
                <w:highlight w:val="yellow"/>
              </w:rPr>
              <w:t>[plan × 1.05]</w:t>
            </w:r>
          </w:p>
        </w:tc>
        <w:tc>
          <w:tcPr>
            <w:tcW w:type="dxa" w:w="1814"/>
          </w:tcPr>
          <w:p>
            <w:pPr>
              <w:spacing w:before="0" w:after="0" w:line="252" w:lineRule="auto"/>
            </w:pPr>
            <w:r>
              <w:rPr>
                <w:b w:val="0"/>
                <w:sz w:val="17"/>
                <w:highlight w:val="yellow"/>
              </w:rPr>
              <w:t>[€4,500]</w:t>
            </w:r>
          </w:p>
        </w:tc>
        <w:tc>
          <w:tcPr>
            <w:tcW w:type="dxa" w:w="2494"/>
          </w:tcPr>
          <w:p>
            <w:pPr>
              <w:spacing w:before="0" w:after="0" w:line="252" w:lineRule="auto"/>
            </w:pPr>
            <w:r>
              <w:rPr>
                <w:b w:val="0"/>
                <w:sz w:val="17"/>
              </w:rPr>
              <w:t>+</w:t>
            </w:r>
            <w:r>
              <w:rPr>
                <w:b w:val="0"/>
                <w:sz w:val="17"/>
                <w:highlight w:val="yellow"/>
              </w:rPr>
              <w:t>[15]</w:t>
            </w:r>
            <w:r>
              <w:rPr>
                <w:b w:val="0"/>
                <w:sz w:val="17"/>
              </w:rPr>
              <w:t xml:space="preserve">%, max </w:t>
            </w:r>
            <w:r>
              <w:rPr>
                <w:b w:val="0"/>
                <w:sz w:val="17"/>
                <w:highlight w:val="yellow"/>
              </w:rPr>
              <w:t>[€500]</w:t>
            </w:r>
          </w:p>
        </w:tc>
      </w:tr>
      <w:tr>
        <w:tc>
          <w:tcPr>
            <w:tcW w:type="dxa" w:w="1701"/>
          </w:tcPr>
          <w:p>
            <w:pPr>
              <w:spacing w:before="0" w:after="0" w:line="252" w:lineRule="auto"/>
            </w:pPr>
            <w:r>
              <w:rPr>
                <w:b w:val="0"/>
                <w:sz w:val="17"/>
              </w:rPr>
              <w:t>TikTok</w:t>
            </w:r>
          </w:p>
        </w:tc>
        <w:tc>
          <w:tcPr>
            <w:tcW w:type="dxa" w:w="2041"/>
          </w:tcPr>
          <w:p>
            <w:pPr>
              <w:spacing w:before="0" w:after="0" w:line="252" w:lineRule="auto"/>
            </w:pPr>
            <w:r>
              <w:rPr>
                <w:b w:val="0"/>
                <w:sz w:val="17"/>
                <w:highlight w:val="yellow"/>
              </w:rPr>
              <w:t>[€25,000]</w:t>
            </w:r>
          </w:p>
        </w:tc>
        <w:tc>
          <w:tcPr>
            <w:tcW w:type="dxa" w:w="2154"/>
          </w:tcPr>
          <w:p>
            <w:pPr>
              <w:spacing w:before="0" w:after="0" w:line="252" w:lineRule="auto"/>
            </w:pPr>
            <w:r>
              <w:rPr>
                <w:b w:val="0"/>
                <w:sz w:val="17"/>
                <w:highlight w:val="yellow"/>
              </w:rPr>
              <w:t>[plan × 1.05]</w:t>
            </w:r>
          </w:p>
        </w:tc>
        <w:tc>
          <w:tcPr>
            <w:tcW w:type="dxa" w:w="1814"/>
          </w:tcPr>
          <w:p>
            <w:pPr>
              <w:spacing w:before="0" w:after="0" w:line="252" w:lineRule="auto"/>
            </w:pPr>
            <w:r>
              <w:rPr>
                <w:b w:val="0"/>
                <w:sz w:val="17"/>
                <w:highlight w:val="yellow"/>
              </w:rPr>
              <w:t>[€1,200]</w:t>
            </w:r>
          </w:p>
        </w:tc>
        <w:tc>
          <w:tcPr>
            <w:tcW w:type="dxa" w:w="2494"/>
          </w:tcPr>
          <w:p>
            <w:pPr>
              <w:spacing w:before="0" w:after="0" w:line="252" w:lineRule="auto"/>
            </w:pPr>
            <w:r>
              <w:rPr>
                <w:b w:val="0"/>
                <w:sz w:val="17"/>
              </w:rPr>
              <w:t>+</w:t>
            </w:r>
            <w:r>
              <w:rPr>
                <w:b w:val="0"/>
                <w:sz w:val="17"/>
                <w:highlight w:val="yellow"/>
              </w:rPr>
              <w:t>[15]</w:t>
            </w:r>
            <w:r>
              <w:rPr>
                <w:b w:val="0"/>
                <w:sz w:val="17"/>
              </w:rPr>
              <w:t xml:space="preserve">%, max </w:t>
            </w:r>
            <w:r>
              <w:rPr>
                <w:b w:val="0"/>
                <w:sz w:val="17"/>
                <w:highlight w:val="yellow"/>
              </w:rPr>
              <w:t>[€500]</w:t>
            </w:r>
          </w:p>
        </w:tc>
      </w:tr>
      <w:tr>
        <w:tc>
          <w:tcPr>
            <w:tcW w:type="dxa" w:w="1701"/>
          </w:tcPr>
          <w:p>
            <w:pPr>
              <w:spacing w:before="0" w:after="0" w:line="252" w:lineRule="auto"/>
            </w:pPr>
            <w:r>
              <w:rPr>
                <w:b w:val="0"/>
                <w:sz w:val="17"/>
              </w:rPr>
              <w:t>Amazon Ads</w:t>
            </w:r>
          </w:p>
        </w:tc>
        <w:tc>
          <w:tcPr>
            <w:tcW w:type="dxa" w:w="2041"/>
          </w:tcPr>
          <w:p>
            <w:pPr>
              <w:spacing w:before="0" w:after="0" w:line="252" w:lineRule="auto"/>
            </w:pPr>
            <w:r>
              <w:rPr>
                <w:b w:val="0"/>
                <w:sz w:val="17"/>
                <w:highlight w:val="yellow"/>
              </w:rPr>
              <w:t>[€15,000]</w:t>
            </w:r>
          </w:p>
        </w:tc>
        <w:tc>
          <w:tcPr>
            <w:tcW w:type="dxa" w:w="2154"/>
          </w:tcPr>
          <w:p>
            <w:pPr>
              <w:spacing w:before="0" w:after="0" w:line="252" w:lineRule="auto"/>
            </w:pPr>
            <w:r>
              <w:rPr>
                <w:b w:val="0"/>
                <w:sz w:val="17"/>
                <w:highlight w:val="yellow"/>
              </w:rPr>
              <w:t>[plan × 1.05]</w:t>
            </w:r>
          </w:p>
        </w:tc>
        <w:tc>
          <w:tcPr>
            <w:tcW w:type="dxa" w:w="1814"/>
          </w:tcPr>
          <w:p>
            <w:pPr>
              <w:spacing w:before="0" w:after="0" w:line="252" w:lineRule="auto"/>
            </w:pPr>
            <w:r>
              <w:rPr>
                <w:b w:val="0"/>
                <w:sz w:val="17"/>
                <w:highlight w:val="yellow"/>
              </w:rPr>
              <w:t>[€750]</w:t>
            </w:r>
          </w:p>
        </w:tc>
        <w:tc>
          <w:tcPr>
            <w:tcW w:type="dxa" w:w="2494"/>
          </w:tcPr>
          <w:p>
            <w:pPr>
              <w:spacing w:before="0" w:after="0" w:line="252" w:lineRule="auto"/>
            </w:pPr>
            <w:r>
              <w:rPr>
                <w:b w:val="0"/>
                <w:sz w:val="17"/>
              </w:rPr>
              <w:t>+</w:t>
            </w:r>
            <w:r>
              <w:rPr>
                <w:b w:val="0"/>
                <w:sz w:val="17"/>
                <w:highlight w:val="yellow"/>
              </w:rPr>
              <w:t>[15]</w:t>
            </w:r>
            <w:r>
              <w:rPr>
                <w:b w:val="0"/>
                <w:sz w:val="17"/>
              </w:rPr>
              <w:t xml:space="preserve">%, max </w:t>
            </w:r>
            <w:r>
              <w:rPr>
                <w:b w:val="0"/>
                <w:sz w:val="17"/>
                <w:highlight w:val="yellow"/>
              </w:rPr>
              <w:t>[€500]</w:t>
            </w:r>
          </w:p>
        </w:tc>
      </w:tr>
      <w:tr>
        <w:tc>
          <w:tcPr>
            <w:tcW w:type="dxa" w:w="1701"/>
          </w:tcPr>
          <w:p>
            <w:pPr>
              <w:spacing w:before="0" w:after="0" w:line="252" w:lineRule="auto"/>
            </w:pPr>
            <w:r>
              <w:rPr>
                <w:b w:val="0"/>
                <w:sz w:val="17"/>
              </w:rPr>
              <w:t>All channels</w:t>
            </w:r>
          </w:p>
        </w:tc>
        <w:tc>
          <w:tcPr>
            <w:tcW w:type="dxa" w:w="2041"/>
          </w:tcPr>
          <w:p>
            <w:pPr>
              <w:spacing w:before="0" w:after="0" w:line="252" w:lineRule="auto"/>
            </w:pPr>
            <w:r>
              <w:rPr>
                <w:b w:val="0"/>
                <w:sz w:val="17"/>
                <w:highlight w:val="yellow"/>
              </w:rPr>
              <w:t>[€250,000]</w:t>
            </w:r>
          </w:p>
        </w:tc>
        <w:tc>
          <w:tcPr>
            <w:tcW w:type="dxa" w:w="2154"/>
          </w:tcPr>
          <w:p>
            <w:pPr>
              <w:spacing w:before="0" w:after="0" w:line="252" w:lineRule="auto"/>
            </w:pPr>
            <w:r>
              <w:rPr>
                <w:b w:val="0"/>
                <w:sz w:val="17"/>
              </w:rPr>
              <w:t>sum of the above</w:t>
            </w:r>
          </w:p>
        </w:tc>
        <w:tc>
          <w:tcPr>
            <w:tcW w:type="dxa" w:w="1814"/>
          </w:tcPr>
          <w:p>
            <w:pPr>
              <w:spacing w:before="0" w:after="0" w:line="252" w:lineRule="auto"/>
            </w:pPr>
            <w:r>
              <w:rPr>
                <w:b w:val="0"/>
                <w:sz w:val="17"/>
              </w:rPr>
              <w:t>n/a</w:t>
            </w:r>
          </w:p>
        </w:tc>
        <w:tc>
          <w:tcPr>
            <w:tcW w:type="dxa" w:w="2494"/>
          </w:tcPr>
          <w:p>
            <w:pPr>
              <w:spacing w:before="0" w:after="0" w:line="252" w:lineRule="auto"/>
            </w:pPr>
            <w:r>
              <w:rPr>
                <w:b w:val="0"/>
                <w:sz w:val="17"/>
              </w:rPr>
              <w:t>n/a</w:t>
            </w:r>
          </w:p>
        </w:tc>
      </w:tr>
    </w:tbl>
    <w:p>
      <w:pPr>
        <w:spacing w:before="0" w:after="0" w:line="144" w:lineRule="auto"/>
      </w:pPr>
    </w:p>
    <w:p>
      <w:pPr>
        <w:spacing w:before="0" w:after="40" w:line="252" w:lineRule="auto"/>
      </w:pPr>
      <w:r>
        <w:rPr>
          <w:b w:val="0"/>
        </w:rPr>
        <w:t xml:space="preserve">Daily ceiling: the most a channel's daily budgets may add up to, about </w:t>
      </w:r>
      <w:r>
        <w:rPr>
          <w:b w:val="0"/>
          <w:highlight w:val="yellow"/>
        </w:rPr>
        <w:t>[1.5]</w:t>
      </w:r>
      <w:r>
        <w:rPr>
          <w:b w:val="0"/>
        </w:rPr>
        <w:t xml:space="preserve"> × monthly plan ÷ 30.4. It follows the approved plan automatically, and changing the multiplier is Class 2. The headroom lets spend catch up after a slow start; Section 3's projected-month rule and the platform caps hold the month.</w:t>
      </w:r>
    </w:p>
    <w:p>
      <w:pPr>
        <w:spacing w:before="0" w:after="40" w:line="252" w:lineRule="auto"/>
      </w:pPr>
      <w:r>
        <w:rPr>
          <w:b w:val="0"/>
        </w:rPr>
        <w:t>Platform caps to set (owned by the finance contact):</w:t>
      </w:r>
    </w:p>
    <w:p>
      <w:pPr>
        <w:pStyle w:val="ListBullet"/>
        <w:spacing w:before="0" w:after="20" w:line="252" w:lineRule="auto"/>
      </w:pPr>
      <w:r>
        <w:rPr>
          <w:b w:val="0"/>
        </w:rPr>
        <w:t>Google Ads: an account budget per month, which Google offers to advertisers on monthly invoicing. Without one, the daily ceiling, the pacing check and Section 3's projected-month rule are the limit; a campaign may spend up to 2× its average daily budget on one day.</w:t>
      </w:r>
    </w:p>
    <w:p>
      <w:pPr>
        <w:pStyle w:val="ListBullet"/>
        <w:spacing w:before="0" w:after="20" w:line="252" w:lineRule="auto"/>
      </w:pPr>
      <w:r>
        <w:rPr>
          <w:b w:val="0"/>
        </w:rPr>
        <w:t xml:space="preserve">Meta: an ad account spending limit at </w:t>
      </w:r>
      <w:r>
        <w:rPr>
          <w:b w:val="0"/>
          <w:highlight w:val="yellow"/>
        </w:rPr>
        <w:t>[plan × 1.05]</w:t>
      </w:r>
      <w:r>
        <w:rPr>
          <w:b w:val="0"/>
        </w:rPr>
        <w:t>, reset each month (automatically if your account offers it, by hand on the 1st if not). A campaign spending limit on every test campaign.</w:t>
      </w:r>
    </w:p>
    <w:p>
      <w:pPr>
        <w:pStyle w:val="ListBullet"/>
        <w:spacing w:before="0" w:after="20" w:line="252" w:lineRule="auto"/>
      </w:pPr>
      <w:r>
        <w:rPr>
          <w:b w:val="0"/>
        </w:rPr>
        <w:t>TikTok: a monthly cap per ad account in Budget Manager.</w:t>
      </w:r>
    </w:p>
    <w:p>
      <w:pPr>
        <w:pStyle w:val="ListBullet"/>
        <w:spacing w:before="0" w:after="20" w:line="252" w:lineRule="auto"/>
      </w:pPr>
      <w:r>
        <w:rPr>
          <w:b w:val="0"/>
        </w:rPr>
        <w:t>Amazon Ads: a monthly recurring budget cap on each portfolio, with every campaign in a portfolio.</w:t>
      </w:r>
    </w:p>
    <w:p>
      <w:pPr>
        <w:spacing w:before="0" w:after="40" w:line="252" w:lineRule="auto"/>
      </w:pPr>
      <w:r>
        <w:rPr>
          <w:b w:val="0"/>
        </w:rPr>
        <w:t xml:space="preserve">These caps stop spend at a ceiling but do not pace it. Check pacing </w:t>
      </w:r>
      <w:r>
        <w:rPr>
          <w:b w:val="0"/>
          <w:highlight w:val="yellow"/>
        </w:rPr>
        <w:t>[daily]</w:t>
      </w:r>
      <w:r>
        <w:rPr>
          <w:b w:val="0"/>
        </w:rPr>
        <w:t xml:space="preserve"> against plan to date; more than </w:t>
      </w:r>
      <w:r>
        <w:rPr>
          <w:b w:val="0"/>
          <w:highlight w:val="yellow"/>
        </w:rPr>
        <w:t>[10]</w:t>
      </w:r>
      <w:r>
        <w:rPr>
          <w:b w:val="0"/>
        </w:rPr>
        <w:t>% ahead or behind becomes a proposal in its class.</w:t>
      </w:r>
    </w:p>
    <w:p>
      <w:pPr>
        <w:pStyle w:val="Heading1"/>
        <w:keepNext/>
        <w:spacing w:before="120" w:after="40" w:line="252" w:lineRule="auto"/>
      </w:pPr>
      <w:r>
        <w:rPr>
          <w:b w:val="0"/>
        </w:rPr>
        <w:t>5. Platform automation</w:t>
      </w:r>
    </w:p>
    <w:p>
      <w:pPr>
        <w:pStyle w:val="ListBullet"/>
        <w:spacing w:before="0" w:after="20" w:line="252" w:lineRule="auto"/>
      </w:pPr>
      <w:r>
        <w:rPr>
          <w:b w:val="0"/>
        </w:rPr>
        <w:t>Keep an inventory (Annex B) of every auto-applied recommendation, automated rule, script, third-party tool and AI agent with write access: owner, what it may change, class.</w:t>
      </w:r>
    </w:p>
    <w:p>
      <w:pPr>
        <w:pStyle w:val="ListBullet"/>
        <w:spacing w:before="0" w:after="20" w:line="252" w:lineRule="auto"/>
      </w:pPr>
      <w:r>
        <w:rPr>
          <w:b w:val="0"/>
        </w:rPr>
        <w:t xml:space="preserve">Google Ads auto-apply: off for the Bidding, the Keywords and targeting, and the Measurement types unless listed here: </w:t>
      </w:r>
      <w:r>
        <w:rPr>
          <w:b w:val="0"/>
          <w:highlight w:val="yellow"/>
        </w:rPr>
        <w:t>[list]</w:t>
      </w:r>
      <w:r>
        <w:rPr>
          <w:b w:val="0"/>
        </w:rPr>
        <w:t>. Check the auto-apply History tab in the weekly review.</w:t>
      </w:r>
    </w:p>
    <w:p>
      <w:pPr>
        <w:pStyle w:val="ListBullet"/>
        <w:spacing w:before="0" w:after="20" w:line="252" w:lineRule="auto"/>
      </w:pPr>
      <w:r>
        <w:rPr>
          <w:b w:val="0"/>
        </w:rPr>
        <w:t xml:space="preserve">Rules and scripts start with </w:t>
      </w:r>
      <w:r>
        <w:rPr>
          <w:b w:val="0"/>
          <w:highlight w:val="yellow"/>
        </w:rPr>
        <w:t>[AUTO-]</w:t>
      </w:r>
      <w:r>
        <w:rPr>
          <w:b w:val="0"/>
        </w:rPr>
        <w:t xml:space="preserve"> in their name and have a named owner. A rule may only do what a Class 0 change allows, unless it was approved as a Class 1 change.</w:t>
      </w:r>
    </w:p>
    <w:p>
      <w:pPr>
        <w:pStyle w:val="ListBullet"/>
        <w:spacing w:before="0" w:after="20" w:line="252" w:lineRule="auto"/>
      </w:pPr>
      <w:r>
        <w:rPr>
          <w:b w:val="0"/>
        </w:rPr>
        <w:t>Before removing anyone's access, move their rules and scripts to another owner, then check rule status. On Google Ads, a script stops running when its author is removed, and a rule keeps running after its creator has gone.</w:t>
      </w:r>
    </w:p>
    <w:p>
      <w:pPr>
        <w:pStyle w:val="ListBullet"/>
        <w:spacing w:before="0" w:after="20" w:line="252" w:lineRule="auto"/>
      </w:pPr>
      <w:r>
        <w:rPr>
          <w:b w:val="0"/>
        </w:rPr>
        <w:t xml:space="preserve">Meta Advantage+ creative enhancements that change approved creative: </w:t>
      </w:r>
      <w:r>
        <w:rPr>
          <w:b w:val="0"/>
          <w:highlight w:val="yellow"/>
        </w:rPr>
        <w:t>[on/off list per enhancement]</w:t>
      </w:r>
      <w:r>
        <w:rPr>
          <w:b w:val="0"/>
        </w:rPr>
        <w:t>.</w:t>
      </w:r>
    </w:p>
    <w:p>
      <w:pPr>
        <w:pStyle w:val="ListBullet"/>
        <w:spacing w:before="0" w:after="20" w:line="252" w:lineRule="auto"/>
      </w:pPr>
      <w:r>
        <w:rPr>
          <w:b w:val="0"/>
        </w:rPr>
        <w:t>Tools and AI agents follow the same classes and must keep an exportable record of every change they make.</w:t>
      </w:r>
    </w:p>
    <w:p>
      <w:pPr>
        <w:pStyle w:val="Heading1"/>
        <w:keepNext/>
        <w:spacing w:before="120" w:after="40" w:line="252" w:lineRule="auto"/>
      </w:pPr>
      <w:r>
        <w:rPr>
          <w:b w:val="0"/>
        </w:rPr>
        <w:t>6. Emergency stop</w:t>
      </w:r>
    </w:p>
    <w:p>
      <w:pPr>
        <w:spacing w:before="0" w:after="40" w:line="252" w:lineRule="auto"/>
      </w:pPr>
      <w:r>
        <w:rPr>
          <w:b w:val="0"/>
        </w:rPr>
        <w:t>Anyone with edit access may pause or cut spend, and never raise it, when:</w:t>
      </w:r>
    </w:p>
    <w:p>
      <w:pPr>
        <w:pStyle w:val="ListBullet"/>
        <w:spacing w:before="0" w:after="20" w:line="252" w:lineRule="auto"/>
      </w:pPr>
      <w:r>
        <w:rPr>
          <w:b w:val="0"/>
        </w:rPr>
        <w:t xml:space="preserve">hourly spend runs above </w:t>
      </w:r>
      <w:r>
        <w:rPr>
          <w:b w:val="0"/>
          <w:highlight w:val="yellow"/>
        </w:rPr>
        <w:t>[3]</w:t>
      </w:r>
      <w:r>
        <w:rPr>
          <w:b w:val="0"/>
        </w:rPr>
        <w:t xml:space="preserve">× the campaign's usual level for </w:t>
      </w:r>
      <w:r>
        <w:rPr>
          <w:b w:val="0"/>
          <w:highlight w:val="yellow"/>
        </w:rPr>
        <w:t>[2]</w:t>
      </w:r>
      <w:r>
        <w:rPr>
          <w:b w:val="0"/>
        </w:rPr>
        <w:t xml:space="preserve"> hours;</w:t>
      </w:r>
    </w:p>
    <w:p>
      <w:pPr>
        <w:pStyle w:val="ListBullet"/>
        <w:spacing w:before="0" w:after="20" w:line="252" w:lineRule="auto"/>
      </w:pPr>
      <w:r>
        <w:rPr>
          <w:b w:val="0"/>
        </w:rPr>
        <w:t xml:space="preserve">a channel's month-to-date spend passes </w:t>
      </w:r>
      <w:r>
        <w:rPr>
          <w:b w:val="0"/>
          <w:highlight w:val="yellow"/>
        </w:rPr>
        <w:t>[125]</w:t>
      </w:r>
      <w:r>
        <w:rPr>
          <w:b w:val="0"/>
        </w:rPr>
        <w:t xml:space="preserve">% of plan to date and is at least </w:t>
      </w:r>
      <w:r>
        <w:rPr>
          <w:b w:val="0"/>
          <w:highlight w:val="yellow"/>
        </w:rPr>
        <w:t>[€5,000]</w:t>
      </w:r>
      <w:r>
        <w:rPr>
          <w:b w:val="0"/>
        </w:rPr>
        <w:t xml:space="preserve"> over it;</w:t>
      </w:r>
    </w:p>
    <w:p>
      <w:pPr>
        <w:pStyle w:val="ListBullet"/>
        <w:spacing w:before="0" w:after="20" w:line="252" w:lineRule="auto"/>
      </w:pPr>
      <w:r>
        <w:rPr>
          <w:b w:val="0"/>
        </w:rPr>
        <w:t xml:space="preserve">conversions drop to near zero for </w:t>
      </w:r>
      <w:r>
        <w:rPr>
          <w:b w:val="0"/>
          <w:highlight w:val="yellow"/>
        </w:rPr>
        <w:t>[6]</w:t>
      </w:r>
      <w:r>
        <w:rPr>
          <w:b w:val="0"/>
        </w:rPr>
        <w:t xml:space="preserve"> hours while spend continues;</w:t>
      </w:r>
    </w:p>
    <w:p>
      <w:pPr>
        <w:pStyle w:val="ListBullet"/>
        <w:spacing w:before="0" w:after="20" w:line="252" w:lineRule="auto"/>
      </w:pPr>
      <w:r>
        <w:rPr>
          <w:b w:val="0"/>
        </w:rPr>
        <w:t>a live ad has a policy, brand-safety or legal problem;</w:t>
      </w:r>
    </w:p>
    <w:p>
      <w:pPr>
        <w:pStyle w:val="ListBullet"/>
        <w:spacing w:before="0" w:after="20" w:line="252" w:lineRule="auto"/>
      </w:pPr>
      <w:r>
        <w:rPr>
          <w:b w:val="0"/>
        </w:rPr>
        <w:t>the landing page or checkout is down.</w:t>
      </w:r>
    </w:p>
    <w:p>
      <w:pPr>
        <w:spacing w:before="0" w:after="40" w:line="252" w:lineRule="auto"/>
      </w:pPr>
      <w:r>
        <w:rPr>
          <w:b w:val="0"/>
        </w:rPr>
        <w:t xml:space="preserve">The month-to-date trigger is a must: whoever sees it cuts that channel's daily budgets to what is left of the plan ÷ days left, or pauses all but protected campaigns if nothing is left, and the budget owner decides the rest of the month. If the conversion drop comes from broken tracking while orders keep arriving, pause the rules, scripts, tools and agents that act on conversion data and keep the campaigns live. On Google Ads, add a data exclusion for the affected click dates, starting </w:t>
      </w:r>
      <w:r>
        <w:rPr>
          <w:b w:val="0"/>
          <w:highlight w:val="yellow"/>
        </w:rPr>
        <w:t>[conversion delay]</w:t>
      </w:r>
      <w:r>
        <w:rPr>
          <w:b w:val="0"/>
        </w:rPr>
        <w:t xml:space="preserve"> days before the outage, and leave it in place once applied.</w:t>
      </w:r>
    </w:p>
    <w:p>
      <w:pPr>
        <w:spacing w:before="0" w:after="40" w:line="252" w:lineRule="auto"/>
      </w:pPr>
      <w:r>
        <w:rPr>
          <w:b w:val="0"/>
        </w:rPr>
        <w:t xml:space="preserve">Within </w:t>
      </w:r>
      <w:r>
        <w:rPr>
          <w:b w:val="0"/>
          <w:highlight w:val="yellow"/>
        </w:rPr>
        <w:t>[30 minutes]</w:t>
      </w:r>
      <w:r>
        <w:rPr>
          <w:b w:val="0"/>
        </w:rPr>
        <w:t xml:space="preserve">: post in </w:t>
      </w:r>
      <w:r>
        <w:rPr>
          <w:b w:val="0"/>
          <w:highlight w:val="yellow"/>
        </w:rPr>
        <w:t>[#paid-media-alerts]</w:t>
      </w:r>
      <w:r>
        <w:rPr>
          <w:b w:val="0"/>
        </w:rPr>
        <w:t xml:space="preserve"> what was stopped, why, and spend at that moment; call </w:t>
      </w:r>
      <w:r>
        <w:rPr>
          <w:b w:val="0"/>
          <w:highlight w:val="yellow"/>
        </w:rPr>
        <w:t>[budget owner]</w:t>
      </w:r>
      <w:r>
        <w:rPr>
          <w:b w:val="0"/>
        </w:rPr>
        <w:t xml:space="preserve"> out of hours. The budget owner confirms or reverses within </w:t>
      </w:r>
      <w:r>
        <w:rPr>
          <w:b w:val="0"/>
          <w:highlight w:val="yellow"/>
        </w:rPr>
        <w:t>[4 hours]</w:t>
      </w:r>
      <w:r>
        <w:rPr>
          <w:b w:val="0"/>
        </w:rPr>
        <w:t>. Restarting is a normal change in its class.</w:t>
      </w:r>
    </w:p>
    <w:p>
      <w:pPr>
        <w:pStyle w:val="Heading1"/>
        <w:keepNext/>
        <w:spacing w:before="120" w:after="40" w:line="252" w:lineRule="auto"/>
      </w:pPr>
      <w:r>
        <w:rPr>
          <w:b w:val="0"/>
        </w:rPr>
        <w:t>7. Logging</w:t>
      </w:r>
    </w:p>
    <w:p>
      <w:pPr>
        <w:spacing w:before="0" w:after="40" w:line="252" w:lineRule="auto"/>
      </w:pPr>
      <w:r>
        <w:rPr>
          <w:b w:val="0"/>
        </w:rPr>
        <w:t xml:space="preserve">Log every change, Class 0 included, in </w:t>
      </w:r>
      <w:r>
        <w:rPr>
          <w:b w:val="0"/>
          <w:highlight w:val="yellow"/>
        </w:rPr>
        <w:t>[location]</w:t>
      </w:r>
      <w:r>
        <w:rPr>
          <w:b w:val="0"/>
        </w:rPr>
        <w:t>. One row per change; routine edits of one type on one campaign in one session can share a row (for example "34 negative keywords from the search terms review"). Columns:</w:t>
      </w:r>
    </w:p>
    <w:p>
      <w:pPr>
        <w:spacing w:before="0" w:after="40" w:line="252" w:lineRule="auto"/>
      </w:pPr>
      <w:r>
        <w:rPr>
          <w:b w:val="0"/>
          <w:sz w:val="17"/>
        </w:rPr>
        <w:t>ID | date and time | platform, account, campaign | old value → new value | class | why (the data you saw) | expected effect and metric | check date | made by | approved by, and when | result on check date | kept or reverted</w:t>
      </w:r>
    </w:p>
    <w:p>
      <w:pPr>
        <w:spacing w:before="0" w:after="40" w:line="252" w:lineRule="auto"/>
      </w:pPr>
      <w:r>
        <w:rPr>
          <w:b w:val="0"/>
        </w:rPr>
        <w:t>Log rejected proposals too, with the reason. Platform change histories are the backup; they do not record why a change was made or who approved it.</w:t>
      </w:r>
    </w:p>
    <w:p>
      <w:pPr>
        <w:pStyle w:val="Heading1"/>
        <w:keepNext/>
        <w:spacing w:before="120" w:after="40" w:line="252" w:lineRule="auto"/>
      </w:pPr>
      <w:r>
        <w:rPr>
          <w:b w:val="0"/>
        </w:rPr>
        <w:t>8. Rollback</w:t>
      </w:r>
    </w:p>
    <w:p>
      <w:pPr>
        <w:spacing w:before="0" w:after="40" w:line="252" w:lineRule="auto"/>
      </w:pPr>
      <w:r>
        <w:rPr>
          <w:b w:val="0"/>
        </w:rPr>
        <w:t xml:space="preserve">Every Class 1 and Class 2 request states its revert condition, for example "revert if CPA is above </w:t>
      </w:r>
      <w:r>
        <w:rPr>
          <w:b w:val="0"/>
          <w:highlight w:val="yellow"/>
        </w:rPr>
        <w:t>[€45]</w:t>
      </w:r>
      <w:r>
        <w:rPr>
          <w:b w:val="0"/>
        </w:rPr>
        <w:t xml:space="preserve"> after </w:t>
      </w:r>
      <w:r>
        <w:rPr>
          <w:b w:val="0"/>
          <w:highlight w:val="yellow"/>
        </w:rPr>
        <w:t>[7]</w:t>
      </w:r>
      <w:r>
        <w:rPr>
          <w:b w:val="0"/>
        </w:rPr>
        <w:t xml:space="preserve"> days or </w:t>
      </w:r>
      <w:r>
        <w:rPr>
          <w:b w:val="0"/>
          <w:highlight w:val="yellow"/>
        </w:rPr>
        <w:t>[50]</w:t>
      </w:r>
      <w:r>
        <w:rPr>
          <w:b w:val="0"/>
        </w:rPr>
        <w:t xml:space="preserve"> conversions". On the check date the operator records the result and keeps or reverts. Reverting to the logged previous value within </w:t>
      </w:r>
      <w:r>
        <w:rPr>
          <w:b w:val="0"/>
          <w:highlight w:val="yellow"/>
        </w:rPr>
        <w:t>[7]</w:t>
      </w:r>
      <w:r>
        <w:rPr>
          <w:b w:val="0"/>
        </w:rPr>
        <w:t xml:space="preserve"> days of the change is a Class 0 change. Before bulk edits of more than </w:t>
      </w:r>
      <w:r>
        <w:rPr>
          <w:b w:val="0"/>
          <w:highlight w:val="yellow"/>
        </w:rPr>
        <w:t>[50]</w:t>
      </w:r>
      <w:r>
        <w:rPr>
          <w:b w:val="0"/>
        </w:rPr>
        <w:t xml:space="preserve"> items, export a backup (Google Ads Editor archive or a bulk sheet).</w:t>
      </w:r>
    </w:p>
    <w:p>
      <w:pPr>
        <w:pStyle w:val="Heading1"/>
        <w:keepNext/>
        <w:spacing w:before="120" w:after="40" w:line="252" w:lineRule="auto"/>
      </w:pPr>
      <w:r>
        <w:rPr>
          <w:b w:val="0"/>
        </w:rPr>
        <w:t>9. Review cadence and KPIs</w:t>
      </w:r>
    </w:p>
    <w:p>
      <w:pPr>
        <w:spacing w:before="0" w:after="40" w:line="252" w:lineRule="auto"/>
      </w:pPr>
      <w:r>
        <w:rPr>
          <w:b/>
        </w:rPr>
        <w:t xml:space="preserve">Weekly, </w:t>
      </w:r>
      <w:r>
        <w:rPr>
          <w:b/>
          <w:highlight w:val="yellow"/>
        </w:rPr>
        <w:t>[30 min]</w:t>
      </w:r>
      <w:r>
        <w:rPr>
          <w:b/>
        </w:rPr>
        <w:t>:</w:t>
      </w:r>
      <w:r>
        <w:rPr>
          <w:b w:val="0"/>
        </w:rPr>
        <w:t xml:space="preserve"> changes due for checking, reverts, auto-apply and rule history, requests still waiting.</w:t>
      </w:r>
    </w:p>
    <w:p>
      <w:pPr>
        <w:spacing w:before="0" w:after="40" w:line="252" w:lineRule="auto"/>
      </w:pPr>
      <w:r>
        <w:rPr>
          <w:b/>
        </w:rPr>
        <w:t>Monthly:</w:t>
      </w:r>
      <w:r>
        <w:rPr>
          <w:b w:val="0"/>
        </w:rPr>
        <w:t xml:space="preserve"> access review (leavers removed, admins at </w:t>
      </w:r>
      <w:r>
        <w:rPr>
          <w:b w:val="0"/>
          <w:highlight w:val="yellow"/>
        </w:rPr>
        <w:t>[2]</w:t>
      </w:r>
      <w:r>
        <w:rPr>
          <w:b w:val="0"/>
        </w:rPr>
        <w:t xml:space="preserve"> or fewer, manager-account links and their ownership), spend against plan by channel, whether the thresholds still fit.</w:t>
      </w:r>
    </w:p>
    <w:p>
      <w:pPr>
        <w:spacing w:before="0" w:after="40" w:line="252" w:lineRule="auto"/>
      </w:pPr>
      <w:r>
        <w:rPr>
          <w:b/>
        </w:rPr>
        <w:t>Quarterly:</w:t>
      </w:r>
      <w:r>
        <w:rPr>
          <w:b w:val="0"/>
        </w:rPr>
        <w:t xml:space="preserve"> review this policy. Raise Class 0 limits for change types whose approved changes kept working.</w:t>
      </w:r>
    </w:p>
    <w:p>
      <w:pPr>
        <w:spacing w:before="0" w:after="40" w:line="252" w:lineRule="auto"/>
      </w:pPr>
      <w:r>
        <w:rPr>
          <w:b/>
        </w:rPr>
        <w:t>KPIs:</w:t>
      </w:r>
      <w:r>
        <w:rPr>
          <w:b w:val="0"/>
        </w:rPr>
        <w:t xml:space="preserve"> changes logged </w:t>
      </w:r>
      <w:r>
        <w:rPr>
          <w:b w:val="0"/>
          <w:highlight w:val="yellow"/>
        </w:rPr>
        <w:t>[100]</w:t>
      </w:r>
      <w:r>
        <w:rPr>
          <w:b w:val="0"/>
        </w:rPr>
        <w:t xml:space="preserve">%; median approval time </w:t>
      </w:r>
      <w:r>
        <w:rPr>
          <w:b w:val="0"/>
          <w:highlight w:val="yellow"/>
        </w:rPr>
        <w:t>[under 4 working hours]</w:t>
      </w:r>
      <w:r>
        <w:rPr>
          <w:b w:val="0"/>
        </w:rPr>
        <w:t xml:space="preserve">; approved changes later reverted </w:t>
      </w:r>
      <w:r>
        <w:rPr>
          <w:b w:val="0"/>
          <w:highlight w:val="yellow"/>
        </w:rPr>
        <w:t>[under 20]</w:t>
      </w:r>
      <w:r>
        <w:rPr>
          <w:b w:val="0"/>
        </w:rPr>
        <w:t>%; emergency stops per month; spend against plan per channel within ±</w:t>
      </w:r>
      <w:r>
        <w:rPr>
          <w:b w:val="0"/>
          <w:highlight w:val="yellow"/>
        </w:rPr>
        <w:t>[5]</w:t>
      </w:r>
      <w:r>
        <w:rPr>
          <w:b w:val="0"/>
        </w:rPr>
        <w:t xml:space="preserve">%; scale-up requests waiting more than </w:t>
      </w:r>
      <w:r>
        <w:rPr>
          <w:b w:val="0"/>
          <w:highlight w:val="yellow"/>
        </w:rPr>
        <w:t>[1 working day]</w:t>
      </w:r>
      <w:r>
        <w:rPr>
          <w:b w:val="0"/>
        </w:rPr>
        <w:t xml:space="preserve">: </w:t>
      </w:r>
      <w:r>
        <w:rPr>
          <w:b w:val="0"/>
          <w:highlight w:val="yellow"/>
        </w:rPr>
        <w:t>[0]</w:t>
      </w:r>
      <w:r>
        <w:rPr>
          <w:b w:val="0"/>
        </w:rPr>
        <w:t>.</w:t>
      </w:r>
    </w:p>
    <w:p>
      <w:pPr>
        <w:pStyle w:val="Heading1"/>
        <w:keepNext/>
        <w:spacing w:before="120" w:after="40" w:line="252" w:lineRule="auto"/>
      </w:pPr>
      <w:r>
        <w:rPr>
          <w:b w:val="0"/>
        </w:rPr>
        <w:t>10. Agency and client (one Annex C per client)</w:t>
      </w:r>
    </w:p>
    <w:p>
      <w:pPr>
        <w:pStyle w:val="ListBullet"/>
        <w:spacing w:before="0" w:after="20" w:line="252" w:lineRule="auto"/>
      </w:pPr>
      <w:r>
        <w:rPr>
          <w:b w:val="0"/>
        </w:rPr>
        <w:t>Thresholds, approvers, protected campaigns, monthly plan and any pre-approved flex per client, signed by both sides.</w:t>
      </w:r>
    </w:p>
    <w:p>
      <w:pPr>
        <w:pStyle w:val="ListBullet"/>
        <w:spacing w:before="0" w:after="20" w:line="252" w:lineRule="auto"/>
      </w:pPr>
      <w:r>
        <w:rPr>
          <w:b w:val="0"/>
        </w:rPr>
        <w:t xml:space="preserve">Client response time: Class 1 within </w:t>
      </w:r>
      <w:r>
        <w:rPr>
          <w:b w:val="0"/>
          <w:highlight w:val="yellow"/>
        </w:rPr>
        <w:t>[1 working day]</w:t>
      </w:r>
      <w:r>
        <w:rPr>
          <w:b w:val="0"/>
        </w:rPr>
        <w:t xml:space="preserve">; Class 2 within </w:t>
      </w:r>
      <w:r>
        <w:rPr>
          <w:b w:val="0"/>
          <w:highlight w:val="yellow"/>
        </w:rPr>
        <w:t>[2 working days]</w:t>
      </w:r>
      <w:r>
        <w:rPr>
          <w:b w:val="0"/>
        </w:rPr>
        <w:t>.</w:t>
      </w:r>
    </w:p>
    <w:p>
      <w:pPr>
        <w:pStyle w:val="ListBullet"/>
        <w:spacing w:before="0" w:after="20" w:line="252" w:lineRule="auto"/>
      </w:pPr>
      <w:r>
        <w:rPr>
          <w:b w:val="0"/>
        </w:rPr>
        <w:t xml:space="preserve">No answer: after the response time the agency contacts </w:t>
      </w:r>
      <w:r>
        <w:rPr>
          <w:b w:val="0"/>
          <w:highlight w:val="yellow"/>
        </w:rPr>
        <w:t>[client deputy]</w:t>
      </w:r>
      <w:r>
        <w:rPr>
          <w:b w:val="0"/>
        </w:rPr>
        <w:t>. Budget cuts and pauses then go ahead. Increases and Class 2 changes wait. Silence never approves more spend.</w:t>
      </w:r>
    </w:p>
    <w:p>
      <w:pPr>
        <w:pStyle w:val="ListBullet"/>
        <w:spacing w:before="0" w:after="20" w:line="252" w:lineRule="auto"/>
      </w:pPr>
      <w:r>
        <w:rPr>
          <w:b w:val="0"/>
        </w:rPr>
        <w:t xml:space="preserve">The client owns the ad accounts and data; billing sits with </w:t>
      </w:r>
      <w:r>
        <w:rPr>
          <w:b w:val="0"/>
          <w:highlight w:val="yellow"/>
        </w:rPr>
        <w:t>[client / agency]</w:t>
      </w:r>
      <w:r>
        <w:rPr>
          <w:b w:val="0"/>
        </w:rPr>
        <w:t xml:space="preserve">. The agency works with edit access. When the contract ends, the agency hands over the change log and the automation inventory within </w:t>
      </w:r>
      <w:r>
        <w:rPr>
          <w:b w:val="0"/>
          <w:highlight w:val="yellow"/>
        </w:rPr>
        <w:t>[5 working days]</w:t>
      </w:r>
      <w:r>
        <w:rPr>
          <w:b w:val="0"/>
        </w:rPr>
        <w:t>.</w:t>
      </w:r>
    </w:p>
    <w:p>
      <w:pPr>
        <w:pStyle w:val="ListBullet"/>
        <w:spacing w:before="0" w:after="20" w:line="252" w:lineRule="auto"/>
      </w:pPr>
      <w:r>
        <w:rPr>
          <w:b w:val="0"/>
        </w:rPr>
        <w:t xml:space="preserve">The agency sends a </w:t>
      </w:r>
      <w:r>
        <w:rPr>
          <w:b w:val="0"/>
          <w:highlight w:val="yellow"/>
        </w:rPr>
        <w:t>[weekly]</w:t>
      </w:r>
      <w:r>
        <w:rPr>
          <w:b w:val="0"/>
        </w:rPr>
        <w:t xml:space="preserve"> summary of changes: what, why, result.</w:t>
      </w:r>
    </w:p>
    <w:p>
      <w:pPr>
        <w:pStyle w:val="ListBullet"/>
        <w:spacing w:before="0" w:after="20" w:line="252" w:lineRule="auto"/>
      </w:pPr>
      <w:r>
        <w:rPr>
          <w:b w:val="0"/>
        </w:rPr>
        <w:t>If the client overrules a recommendation, the agency logs its recommendation and the client's decision.</w:t>
      </w:r>
    </w:p>
    <w:p>
      <w:pPr>
        <w:spacing w:before="0" w:after="40" w:line="252" w:lineRule="auto"/>
      </w:pPr>
      <w:r>
        <w:rPr>
          <w:b w:val="0"/>
        </w:rPr>
        <w:t xml:space="preserve">Sign-off: </w:t>
      </w:r>
      <w:r>
        <w:rPr>
          <w:b w:val="0"/>
          <w:highlight w:val="yellow"/>
        </w:rPr>
        <w:t>[name, role, date]</w:t>
      </w:r>
      <w:r>
        <w:rPr>
          <w:b w:val="0"/>
        </w:rPr>
        <w:t xml:space="preserve"> · </w:t>
      </w:r>
      <w:r>
        <w:rPr>
          <w:b w:val="0"/>
          <w:highlight w:val="yellow"/>
        </w:rPr>
        <w:t>[name, role, date]</w:t>
      </w:r>
    </w:p>
    <w:p>
      <w:pPr>
        <w:pStyle w:val="Heading2"/>
        <w:keepNext/>
        <w:spacing w:before="140" w:after="60" w:line="252" w:lineRule="auto"/>
      </w:pPr>
      <w:r>
        <w:rPr>
          <w:b w:val="0"/>
        </w:rPr>
        <w:t>Annex A. Ad accounts and protected campaigns</w:t>
      </w:r>
    </w:p>
    <w:tbl>
      <w:tblPr>
        <w:tblStyle w:val="TableGrid"/>
        <w:tblW w:type="auto" w:w="0"/>
        <w:jc w:val="left"/>
        <w:tblLook w:firstColumn="1" w:firstRow="1" w:lastColumn="0" w:lastRow="0" w:noHBand="0" w:noVBand="1" w:val="04A0"/>
        <w:tblCellMar>
          <w:top w:w="40" w:type="dxa"/>
          <w:bottom w:w="40" w:type="dxa"/>
          <w:left w:w="80" w:type="dxa"/>
          <w:right w:w="80" w:type="dxa"/>
        </w:tblCellMar>
      </w:tblPr>
      <w:tblGrid>
        <w:gridCol w:w="2041"/>
        <w:gridCol w:w="2041"/>
        <w:gridCol w:w="2041"/>
        <w:gridCol w:w="2041"/>
        <w:gridCol w:w="2041"/>
      </w:tblGrid>
      <w:tr>
        <w:tc>
          <w:tcPr>
            <w:tcW w:type="dxa" w:w="1701"/>
            <w:shd w:val="clear" w:color="auto" w:fill="EFEBE2"/>
          </w:tcPr>
          <w:p>
            <w:pPr>
              <w:spacing w:before="0" w:after="0" w:line="252" w:lineRule="auto"/>
            </w:pPr>
            <w:r>
              <w:rPr>
                <w:b/>
                <w:sz w:val="17"/>
              </w:rPr>
              <w:t>Platform</w:t>
            </w:r>
          </w:p>
        </w:tc>
        <w:tc>
          <w:tcPr>
            <w:tcW w:type="dxa" w:w="2041"/>
            <w:shd w:val="clear" w:color="auto" w:fill="EFEBE2"/>
          </w:tcPr>
          <w:p>
            <w:pPr>
              <w:spacing w:before="0" w:after="0" w:line="252" w:lineRule="auto"/>
            </w:pPr>
            <w:r>
              <w:rPr>
                <w:b/>
                <w:sz w:val="17"/>
              </w:rPr>
              <w:t>Account name and ID</w:t>
            </w:r>
          </w:p>
        </w:tc>
        <w:tc>
          <w:tcPr>
            <w:tcW w:type="dxa" w:w="2154"/>
            <w:shd w:val="clear" w:color="auto" w:fill="EFEBE2"/>
          </w:tcPr>
          <w:p>
            <w:pPr>
              <w:spacing w:before="0" w:after="0" w:line="252" w:lineRule="auto"/>
            </w:pPr>
            <w:r>
              <w:rPr>
                <w:b/>
                <w:sz w:val="17"/>
              </w:rPr>
              <w:t>Monthly plan</w:t>
            </w:r>
          </w:p>
        </w:tc>
        <w:tc>
          <w:tcPr>
            <w:tcW w:type="dxa" w:w="1814"/>
            <w:shd w:val="clear" w:color="auto" w:fill="EFEBE2"/>
          </w:tcPr>
          <w:p>
            <w:pPr>
              <w:spacing w:before="0" w:after="0" w:line="252" w:lineRule="auto"/>
            </w:pPr>
            <w:r>
              <w:rPr>
                <w:b/>
                <w:sz w:val="17"/>
              </w:rPr>
              <w:t>Protected campaigns</w:t>
            </w:r>
          </w:p>
        </w:tc>
        <w:tc>
          <w:tcPr>
            <w:tcW w:type="dxa" w:w="2494"/>
            <w:shd w:val="clear" w:color="auto" w:fill="EFEBE2"/>
          </w:tcPr>
          <w:p>
            <w:pPr>
              <w:spacing w:before="0" w:after="0" w:line="252" w:lineRule="auto"/>
            </w:pPr>
            <w:r>
              <w:rPr>
                <w:b/>
                <w:sz w:val="17"/>
              </w:rPr>
              <w:t>Admins</w:t>
            </w:r>
          </w:p>
        </w:tc>
      </w:tr>
      <w:tr>
        <w:tc>
          <w:tcPr>
            <w:tcW w:type="dxa" w:w="1701"/>
          </w:tcPr>
          <w:p>
            <w:pPr>
              <w:spacing w:before="0" w:after="0" w:line="252" w:lineRule="auto"/>
            </w:pPr>
            <w:r>
              <w:rPr>
                <w:b w:val="0"/>
                <w:sz w:val="17"/>
                <w:highlight w:val="yellow"/>
              </w:rPr>
              <w:t>[Google Ads]</w:t>
            </w:r>
          </w:p>
        </w:tc>
        <w:tc>
          <w:tcPr>
            <w:tcW w:type="dxa" w:w="2041"/>
          </w:tcPr>
          <w:p>
            <w:pPr>
              <w:spacing w:before="0" w:after="0" w:line="252" w:lineRule="auto"/>
            </w:pPr>
            <w:r>
              <w:rPr>
                <w:b w:val="0"/>
                <w:sz w:val="17"/>
                <w:highlight w:val="yellow"/>
              </w:rPr>
              <w:t>[name, ID]</w:t>
            </w:r>
          </w:p>
        </w:tc>
        <w:tc>
          <w:tcPr>
            <w:tcW w:type="dxa" w:w="2154"/>
          </w:tcPr>
          <w:p>
            <w:pPr>
              <w:spacing w:before="0" w:after="0" w:line="252" w:lineRule="auto"/>
            </w:pPr>
            <w:r>
              <w:rPr>
                <w:b w:val="0"/>
                <w:sz w:val="17"/>
                <w:highlight w:val="yellow"/>
              </w:rPr>
              <w:t>[€]</w:t>
            </w:r>
          </w:p>
        </w:tc>
        <w:tc>
          <w:tcPr>
            <w:tcW w:type="dxa" w:w="1814"/>
          </w:tcPr>
          <w:p>
            <w:pPr>
              <w:spacing w:before="0" w:after="0" w:line="252" w:lineRule="auto"/>
            </w:pPr>
            <w:r>
              <w:rPr>
                <w:b w:val="0"/>
                <w:sz w:val="17"/>
                <w:highlight w:val="yellow"/>
              </w:rPr>
              <w:t>[Brand Search]</w:t>
            </w:r>
          </w:p>
        </w:tc>
        <w:tc>
          <w:tcPr>
            <w:tcW w:type="dxa" w:w="2494"/>
          </w:tcPr>
          <w:p>
            <w:pPr>
              <w:spacing w:before="0" w:after="0" w:line="252" w:lineRule="auto"/>
            </w:pPr>
            <w:r>
              <w:rPr>
                <w:b w:val="0"/>
                <w:sz w:val="17"/>
                <w:highlight w:val="yellow"/>
              </w:rPr>
              <w:t>[names]</w:t>
            </w:r>
          </w:p>
        </w:tc>
      </w:tr>
      <w:tr>
        <w:tc>
          <w:tcPr>
            <w:tcW w:type="dxa" w:w="1701"/>
          </w:tcPr>
          <w:p>
            <w:pPr>
              <w:spacing w:before="0" w:after="0" w:line="252" w:lineRule="auto"/>
            </w:pPr>
            <w:r>
              <w:rPr>
                <w:b w:val="0"/>
                <w:sz w:val="17"/>
                <w:highlight w:val="yellow"/>
              </w:rPr>
              <w:t>[Meta]</w:t>
            </w:r>
          </w:p>
        </w:tc>
        <w:tc>
          <w:tcPr>
            <w:tcW w:type="dxa" w:w="2041"/>
          </w:tcPr>
          <w:p>
            <w:pPr>
              <w:spacing w:before="0" w:after="0" w:line="252" w:lineRule="auto"/>
            </w:pPr>
            <w:r>
              <w:rPr>
                <w:b w:val="0"/>
                <w:sz w:val="17"/>
                <w:highlight w:val="yellow"/>
              </w:rPr>
              <w:t>[name, ID]</w:t>
            </w:r>
          </w:p>
        </w:tc>
        <w:tc>
          <w:tcPr>
            <w:tcW w:type="dxa" w:w="2154"/>
          </w:tcPr>
          <w:p>
            <w:pPr>
              <w:spacing w:before="0" w:after="0" w:line="252" w:lineRule="auto"/>
            </w:pPr>
            <w:r>
              <w:rPr>
                <w:b w:val="0"/>
                <w:sz w:val="17"/>
                <w:highlight w:val="yellow"/>
              </w:rPr>
              <w:t>[€]</w:t>
            </w:r>
          </w:p>
        </w:tc>
        <w:tc>
          <w:tcPr>
            <w:tcW w:type="dxa" w:w="1814"/>
          </w:tcPr>
          <w:p>
            <w:pPr>
              <w:spacing w:before="0" w:after="0" w:line="252" w:lineRule="auto"/>
            </w:pPr>
            <w:r>
              <w:rPr>
                <w:b w:val="0"/>
                <w:sz w:val="17"/>
                <w:highlight w:val="yellow"/>
              </w:rPr>
              <w:t>[list]</w:t>
            </w:r>
          </w:p>
        </w:tc>
        <w:tc>
          <w:tcPr>
            <w:tcW w:type="dxa" w:w="2494"/>
          </w:tcPr>
          <w:p>
            <w:pPr>
              <w:spacing w:before="0" w:after="0" w:line="252" w:lineRule="auto"/>
            </w:pPr>
            <w:r>
              <w:rPr>
                <w:b w:val="0"/>
                <w:sz w:val="17"/>
                <w:highlight w:val="yellow"/>
              </w:rPr>
              <w:t>[names]</w:t>
            </w:r>
          </w:p>
        </w:tc>
      </w:tr>
    </w:tbl>
    <w:p>
      <w:pPr>
        <w:spacing w:before="0" w:after="0" w:line="144" w:lineRule="auto"/>
      </w:pPr>
    </w:p>
    <w:p>
      <w:pPr>
        <w:pStyle w:val="Heading2"/>
        <w:keepNext/>
        <w:spacing w:before="140" w:after="60" w:line="252" w:lineRule="auto"/>
      </w:pPr>
      <w:r>
        <w:rPr>
          <w:b w:val="0"/>
        </w:rPr>
        <w:t>Annex B. Automation inventory</w:t>
      </w:r>
    </w:p>
    <w:tbl>
      <w:tblPr>
        <w:tblStyle w:val="TableGrid"/>
        <w:tblW w:type="auto" w:w="0"/>
        <w:jc w:val="left"/>
        <w:tblLook w:firstColumn="1" w:firstRow="1" w:lastColumn="0" w:lastRow="0" w:noHBand="0" w:noVBand="1" w:val="04A0"/>
        <w:tblCellMar>
          <w:top w:w="40" w:type="dxa"/>
          <w:bottom w:w="40" w:type="dxa"/>
          <w:left w:w="80" w:type="dxa"/>
          <w:right w:w="80" w:type="dxa"/>
        </w:tblCellMar>
      </w:tblPr>
      <w:tblGrid>
        <w:gridCol w:w="1701"/>
        <w:gridCol w:w="1701"/>
        <w:gridCol w:w="1701"/>
        <w:gridCol w:w="1701"/>
        <w:gridCol w:w="1701"/>
        <w:gridCol w:w="1701"/>
      </w:tblGrid>
      <w:tr>
        <w:tc>
          <w:tcPr>
            <w:tcW w:type="dxa" w:w="1814"/>
            <w:shd w:val="clear" w:color="auto" w:fill="EFEBE2"/>
          </w:tcPr>
          <w:p>
            <w:pPr>
              <w:spacing w:before="0" w:after="0" w:line="252" w:lineRule="auto"/>
            </w:pPr>
            <w:r>
              <w:rPr>
                <w:b/>
                <w:sz w:val="17"/>
              </w:rPr>
              <w:t>Name</w:t>
            </w:r>
          </w:p>
        </w:tc>
        <w:tc>
          <w:tcPr>
            <w:tcW w:type="dxa" w:w="1361"/>
            <w:shd w:val="clear" w:color="auto" w:fill="EFEBE2"/>
          </w:tcPr>
          <w:p>
            <w:pPr>
              <w:spacing w:before="0" w:after="0" w:line="252" w:lineRule="auto"/>
            </w:pPr>
            <w:r>
              <w:rPr>
                <w:b/>
                <w:sz w:val="17"/>
              </w:rPr>
              <w:t>Platform</w:t>
            </w:r>
          </w:p>
        </w:tc>
        <w:tc>
          <w:tcPr>
            <w:tcW w:type="dxa" w:w="2154"/>
            <w:shd w:val="clear" w:color="auto" w:fill="EFEBE2"/>
          </w:tcPr>
          <w:p>
            <w:pPr>
              <w:spacing w:before="0" w:after="0" w:line="252" w:lineRule="auto"/>
            </w:pPr>
            <w:r>
              <w:rPr>
                <w:b/>
                <w:sz w:val="17"/>
              </w:rPr>
              <w:t>Type</w:t>
            </w:r>
          </w:p>
        </w:tc>
        <w:tc>
          <w:tcPr>
            <w:tcW w:type="dxa" w:w="1247"/>
            <w:shd w:val="clear" w:color="auto" w:fill="EFEBE2"/>
          </w:tcPr>
          <w:p>
            <w:pPr>
              <w:spacing w:before="0" w:after="0" w:line="252" w:lineRule="auto"/>
            </w:pPr>
            <w:r>
              <w:rPr>
                <w:b/>
                <w:sz w:val="17"/>
              </w:rPr>
              <w:t>Owner</w:t>
            </w:r>
          </w:p>
        </w:tc>
        <w:tc>
          <w:tcPr>
            <w:tcW w:type="dxa" w:w="2608"/>
            <w:shd w:val="clear" w:color="auto" w:fill="EFEBE2"/>
          </w:tcPr>
          <w:p>
            <w:pPr>
              <w:spacing w:before="0" w:after="0" w:line="252" w:lineRule="auto"/>
            </w:pPr>
            <w:r>
              <w:rPr>
                <w:b/>
                <w:sz w:val="17"/>
              </w:rPr>
              <w:t>What it may change</w:t>
            </w:r>
          </w:p>
        </w:tc>
        <w:tc>
          <w:tcPr>
            <w:tcW w:type="dxa" w:w="1020"/>
            <w:shd w:val="clear" w:color="auto" w:fill="EFEBE2"/>
          </w:tcPr>
          <w:p>
            <w:pPr>
              <w:spacing w:before="0" w:after="0" w:line="252" w:lineRule="auto"/>
            </w:pPr>
            <w:r>
              <w:rPr>
                <w:b/>
                <w:sz w:val="17"/>
              </w:rPr>
              <w:t>Class</w:t>
            </w:r>
          </w:p>
        </w:tc>
      </w:tr>
      <w:tr>
        <w:tc>
          <w:tcPr>
            <w:tcW w:type="dxa" w:w="1814"/>
          </w:tcPr>
          <w:p>
            <w:pPr>
              <w:spacing w:before="0" w:after="0" w:line="252" w:lineRule="auto"/>
            </w:pPr>
            <w:r>
              <w:rPr>
                <w:b w:val="0"/>
                <w:sz w:val="17"/>
                <w:highlight w:val="yellow"/>
              </w:rPr>
              <w:t>[AUTO-pause-CPA]</w:t>
            </w:r>
          </w:p>
        </w:tc>
        <w:tc>
          <w:tcPr>
            <w:tcW w:type="dxa" w:w="1361"/>
          </w:tcPr>
          <w:p>
            <w:pPr>
              <w:spacing w:before="0" w:after="0" w:line="252" w:lineRule="auto"/>
            </w:pPr>
            <w:r>
              <w:rPr>
                <w:b w:val="0"/>
                <w:sz w:val="17"/>
                <w:highlight w:val="yellow"/>
              </w:rPr>
              <w:t>[Google Ads]</w:t>
            </w:r>
          </w:p>
        </w:tc>
        <w:tc>
          <w:tcPr>
            <w:tcW w:type="dxa" w:w="2154"/>
          </w:tcPr>
          <w:p>
            <w:pPr>
              <w:spacing w:before="0" w:after="0" w:line="252" w:lineRule="auto"/>
            </w:pPr>
            <w:r>
              <w:rPr>
                <w:b w:val="0"/>
                <w:sz w:val="17"/>
                <w:highlight w:val="yellow"/>
              </w:rPr>
              <w:t>[rule, script, auto-apply, tool or AI agent]</w:t>
            </w:r>
          </w:p>
        </w:tc>
        <w:tc>
          <w:tcPr>
            <w:tcW w:type="dxa" w:w="1247"/>
          </w:tcPr>
          <w:p>
            <w:pPr>
              <w:spacing w:before="0" w:after="0" w:line="252" w:lineRule="auto"/>
            </w:pPr>
            <w:r>
              <w:rPr>
                <w:b w:val="0"/>
                <w:sz w:val="17"/>
                <w:highlight w:val="yellow"/>
              </w:rPr>
              <w:t>[name]</w:t>
            </w:r>
          </w:p>
        </w:tc>
        <w:tc>
          <w:tcPr>
            <w:tcW w:type="dxa" w:w="2608"/>
          </w:tcPr>
          <w:p>
            <w:pPr>
              <w:spacing w:before="0" w:after="0" w:line="252" w:lineRule="auto"/>
            </w:pPr>
            <w:r>
              <w:rPr>
                <w:b w:val="0"/>
                <w:sz w:val="17"/>
                <w:highlight w:val="yellow"/>
              </w:rPr>
              <w:t>[pause ad groups above target CPA]</w:t>
            </w:r>
          </w:p>
        </w:tc>
        <w:tc>
          <w:tcPr>
            <w:tcW w:type="dxa" w:w="1020"/>
          </w:tcPr>
          <w:p>
            <w:pPr>
              <w:spacing w:before="0" w:after="0" w:line="252" w:lineRule="auto"/>
            </w:pPr>
            <w:r>
              <w:rPr>
                <w:b w:val="0"/>
                <w:sz w:val="17"/>
                <w:highlight w:val="yellow"/>
              </w:rPr>
              <w:t>[0]</w:t>
            </w:r>
          </w:p>
        </w:tc>
      </w:tr>
    </w:tbl>
    <w:p>
      <w:pPr>
        <w:spacing w:before="0" w:after="0" w:line="144" w:lineRule="auto"/>
      </w:pPr>
    </w:p>
    <w:p>
      <w:pPr>
        <w:pStyle w:val="Heading2"/>
        <w:keepNext/>
        <w:spacing w:before="140" w:after="60" w:line="252" w:lineRule="auto"/>
      </w:pPr>
      <w:r>
        <w:rPr>
          <w:b w:val="0"/>
        </w:rPr>
        <w:t>Annex C. Client thresholds (one per client)</w:t>
      </w:r>
    </w:p>
    <w:tbl>
      <w:tblPr>
        <w:tblStyle w:val="TableGrid"/>
        <w:tblW w:type="auto" w:w="0"/>
        <w:jc w:val="left"/>
        <w:tblLook w:firstColumn="1" w:firstRow="1" w:lastColumn="0" w:lastRow="0" w:noHBand="0" w:noVBand="1" w:val="04A0"/>
        <w:tblCellMar>
          <w:top w:w="40" w:type="dxa"/>
          <w:bottom w:w="40" w:type="dxa"/>
          <w:left w:w="80" w:type="dxa"/>
          <w:right w:w="80" w:type="dxa"/>
        </w:tblCellMar>
      </w:tblPr>
      <w:tblGrid>
        <w:gridCol w:w="5103"/>
        <w:gridCol w:w="5103"/>
      </w:tblGrid>
      <w:tr>
        <w:tc>
          <w:tcPr>
            <w:tcW w:type="dxa" w:w="2835"/>
            <w:shd w:val="clear" w:color="auto" w:fill="EFEBE2"/>
          </w:tcPr>
          <w:p>
            <w:pPr>
              <w:spacing w:before="0" w:after="0" w:line="252" w:lineRule="auto"/>
            </w:pPr>
            <w:r>
              <w:rPr>
                <w:b/>
                <w:sz w:val="17"/>
              </w:rPr>
              <w:t>Field</w:t>
            </w:r>
          </w:p>
        </w:tc>
        <w:tc>
          <w:tcPr>
            <w:tcW w:type="dxa" w:w="7370"/>
            <w:shd w:val="clear" w:color="auto" w:fill="EFEBE2"/>
          </w:tcPr>
          <w:p>
            <w:pPr>
              <w:spacing w:before="0" w:after="0" w:line="252" w:lineRule="auto"/>
            </w:pPr>
            <w:r>
              <w:rPr>
                <w:b/>
                <w:sz w:val="17"/>
              </w:rPr>
              <w:t>Value</w:t>
            </w:r>
          </w:p>
        </w:tc>
      </w:tr>
      <w:tr>
        <w:tc>
          <w:tcPr>
            <w:tcW w:type="dxa" w:w="2835"/>
          </w:tcPr>
          <w:p>
            <w:pPr>
              <w:spacing w:before="0" w:after="0" w:line="252" w:lineRule="auto"/>
            </w:pPr>
            <w:r>
              <w:rPr>
                <w:b w:val="0"/>
                <w:sz w:val="17"/>
              </w:rPr>
              <w:t>Client</w:t>
            </w:r>
          </w:p>
        </w:tc>
        <w:tc>
          <w:tcPr>
            <w:tcW w:type="dxa" w:w="7370"/>
          </w:tcPr>
          <w:p>
            <w:pPr>
              <w:spacing w:before="0" w:after="0" w:line="252" w:lineRule="auto"/>
            </w:pPr>
            <w:r>
              <w:rPr>
                <w:b w:val="0"/>
                <w:sz w:val="17"/>
                <w:highlight w:val="yellow"/>
              </w:rPr>
              <w:t>[name]</w:t>
            </w:r>
          </w:p>
        </w:tc>
      </w:tr>
      <w:tr>
        <w:tc>
          <w:tcPr>
            <w:tcW w:type="dxa" w:w="2835"/>
          </w:tcPr>
          <w:p>
            <w:pPr>
              <w:spacing w:before="0" w:after="0" w:line="252" w:lineRule="auto"/>
            </w:pPr>
            <w:r>
              <w:rPr>
                <w:b w:val="0"/>
                <w:sz w:val="17"/>
              </w:rPr>
              <w:t>Monthly plan per channel</w:t>
            </w:r>
          </w:p>
        </w:tc>
        <w:tc>
          <w:tcPr>
            <w:tcW w:type="dxa" w:w="7370"/>
          </w:tcPr>
          <w:p>
            <w:pPr>
              <w:spacing w:before="0" w:after="0" w:line="252" w:lineRule="auto"/>
            </w:pPr>
            <w:r>
              <w:rPr>
                <w:b w:val="0"/>
                <w:sz w:val="17"/>
                <w:highlight w:val="yellow"/>
              </w:rPr>
              <w:t>[€]</w:t>
            </w:r>
          </w:p>
        </w:tc>
      </w:tr>
      <w:tr>
        <w:tc>
          <w:tcPr>
            <w:tcW w:type="dxa" w:w="2835"/>
          </w:tcPr>
          <w:p>
            <w:pPr>
              <w:spacing w:before="0" w:after="0" w:line="252" w:lineRule="auto"/>
            </w:pPr>
            <w:r>
              <w:rPr>
                <w:b w:val="0"/>
                <w:sz w:val="17"/>
              </w:rPr>
              <w:t>Class 0 limit</w:t>
            </w:r>
          </w:p>
        </w:tc>
        <w:tc>
          <w:tcPr>
            <w:tcW w:type="dxa" w:w="7370"/>
          </w:tcPr>
          <w:p>
            <w:pPr>
              <w:spacing w:before="0" w:after="0" w:line="252" w:lineRule="auto"/>
            </w:pPr>
            <w:r>
              <w:rPr>
                <w:b w:val="0"/>
                <w:sz w:val="17"/>
              </w:rPr>
              <w:t>winners +</w:t>
            </w:r>
            <w:r>
              <w:rPr>
                <w:b w:val="0"/>
                <w:sz w:val="17"/>
                <w:highlight w:val="yellow"/>
              </w:rPr>
              <w:t>[15]</w:t>
            </w:r>
            <w:r>
              <w:rPr>
                <w:b w:val="0"/>
                <w:sz w:val="17"/>
              </w:rPr>
              <w:t xml:space="preserve">% or </w:t>
            </w:r>
            <w:r>
              <w:rPr>
                <w:b w:val="0"/>
                <w:sz w:val="17"/>
                <w:highlight w:val="yellow"/>
              </w:rPr>
              <w:t>[€500]</w:t>
            </w:r>
            <w:r>
              <w:rPr>
                <w:b w:val="0"/>
                <w:sz w:val="17"/>
              </w:rPr>
              <w:t xml:space="preserve"> a day, whichever is lower; cuts free except on protected campaigns</w:t>
            </w:r>
          </w:p>
        </w:tc>
      </w:tr>
      <w:tr>
        <w:tc>
          <w:tcPr>
            <w:tcW w:type="dxa" w:w="2835"/>
          </w:tcPr>
          <w:p>
            <w:pPr>
              <w:spacing w:before="0" w:after="0" w:line="252" w:lineRule="auto"/>
            </w:pPr>
            <w:r>
              <w:rPr>
                <w:b w:val="0"/>
                <w:sz w:val="17"/>
              </w:rPr>
              <w:t>Class 1 limit</w:t>
            </w:r>
          </w:p>
        </w:tc>
        <w:tc>
          <w:tcPr>
            <w:tcW w:type="dxa" w:w="7370"/>
          </w:tcPr>
          <w:p>
            <w:pPr>
              <w:spacing w:before="0" w:after="0" w:line="252" w:lineRule="auto"/>
            </w:pPr>
            <w:r>
              <w:rPr>
                <w:b w:val="0"/>
                <w:sz w:val="17"/>
              </w:rPr>
              <w:t>+</w:t>
            </w:r>
            <w:r>
              <w:rPr>
                <w:b w:val="0"/>
                <w:sz w:val="17"/>
                <w:highlight w:val="yellow"/>
              </w:rPr>
              <w:t>[50]</w:t>
            </w:r>
            <w:r>
              <w:rPr>
                <w:b w:val="0"/>
                <w:sz w:val="17"/>
              </w:rPr>
              <w:t xml:space="preserve">% or </w:t>
            </w:r>
            <w:r>
              <w:rPr>
                <w:b w:val="0"/>
                <w:sz w:val="17"/>
                <w:highlight w:val="yellow"/>
              </w:rPr>
              <w:t>[€2,000]</w:t>
            </w:r>
            <w:r>
              <w:rPr>
                <w:b w:val="0"/>
                <w:sz w:val="17"/>
              </w:rPr>
              <w:t xml:space="preserve"> a day, whichever is lower</w:t>
            </w:r>
          </w:p>
        </w:tc>
      </w:tr>
      <w:tr>
        <w:tc>
          <w:tcPr>
            <w:tcW w:type="dxa" w:w="2835"/>
          </w:tcPr>
          <w:p>
            <w:pPr>
              <w:spacing w:before="0" w:after="0" w:line="252" w:lineRule="auto"/>
            </w:pPr>
            <w:r>
              <w:rPr>
                <w:b w:val="0"/>
                <w:sz w:val="17"/>
              </w:rPr>
              <w:t>Class 2 trigger</w:t>
            </w:r>
          </w:p>
        </w:tc>
        <w:tc>
          <w:tcPr>
            <w:tcW w:type="dxa" w:w="7370"/>
          </w:tcPr>
          <w:p>
            <w:pPr>
              <w:spacing w:before="0" w:after="0" w:line="252" w:lineRule="auto"/>
            </w:pPr>
            <w:r>
              <w:rPr>
                <w:b w:val="0"/>
                <w:sz w:val="17"/>
              </w:rPr>
              <w:t xml:space="preserve">an increase that takes the projected month above plan × </w:t>
            </w:r>
            <w:r>
              <w:rPr>
                <w:b w:val="0"/>
                <w:sz w:val="17"/>
                <w:highlight w:val="yellow"/>
              </w:rPr>
              <w:t>[1.05]</w:t>
            </w:r>
            <w:r>
              <w:rPr>
                <w:b w:val="0"/>
                <w:sz w:val="17"/>
              </w:rPr>
              <w:t xml:space="preserve">; plan increases above </w:t>
            </w:r>
            <w:r>
              <w:rPr>
                <w:b w:val="0"/>
                <w:sz w:val="17"/>
                <w:highlight w:val="yellow"/>
              </w:rPr>
              <w:t>[5]</w:t>
            </w:r>
            <w:r>
              <w:rPr>
                <w:b w:val="0"/>
                <w:sz w:val="17"/>
              </w:rPr>
              <w:t xml:space="preserve">% or </w:t>
            </w:r>
            <w:r>
              <w:rPr>
                <w:b w:val="0"/>
                <w:sz w:val="17"/>
                <w:highlight w:val="yellow"/>
              </w:rPr>
              <w:t>[€10,000]</w:t>
            </w:r>
            <w:r>
              <w:rPr>
                <w:b w:val="0"/>
                <w:sz w:val="17"/>
              </w:rPr>
              <w:t xml:space="preserve"> (whichever is lower) in total this month, other than Class 1 moves between platforms</w:t>
            </w:r>
          </w:p>
        </w:tc>
      </w:tr>
      <w:tr>
        <w:tc>
          <w:tcPr>
            <w:tcW w:type="dxa" w:w="2835"/>
          </w:tcPr>
          <w:p>
            <w:pPr>
              <w:spacing w:before="0" w:after="0" w:line="252" w:lineRule="auto"/>
            </w:pPr>
            <w:r>
              <w:rPr>
                <w:b w:val="0"/>
                <w:sz w:val="17"/>
              </w:rPr>
              <w:t>Pre-approved flex (Class 0)</w:t>
            </w:r>
          </w:p>
        </w:tc>
        <w:tc>
          <w:tcPr>
            <w:tcW w:type="dxa" w:w="7370"/>
          </w:tcPr>
          <w:p>
            <w:pPr>
              <w:spacing w:before="0" w:after="0" w:line="252" w:lineRule="auto"/>
            </w:pPr>
            <w:r>
              <w:rPr>
                <w:b w:val="0"/>
                <w:sz w:val="17"/>
              </w:rPr>
              <w:t xml:space="preserve">up to </w:t>
            </w:r>
            <w:r>
              <w:rPr>
                <w:b w:val="0"/>
                <w:sz w:val="17"/>
                <w:highlight w:val="yellow"/>
              </w:rPr>
              <w:t>[€ amount]</w:t>
            </w:r>
            <w:r>
              <w:rPr>
                <w:b w:val="0"/>
                <w:sz w:val="17"/>
              </w:rPr>
              <w:t xml:space="preserve"> a month the agency may move between campaigns on one platform without asking, inside the Section 3 limits on the month</w:t>
            </w:r>
          </w:p>
        </w:tc>
      </w:tr>
      <w:tr>
        <w:tc>
          <w:tcPr>
            <w:tcW w:type="dxa" w:w="2835"/>
          </w:tcPr>
          <w:p>
            <w:pPr>
              <w:spacing w:before="0" w:after="0" w:line="252" w:lineRule="auto"/>
            </w:pPr>
            <w:r>
              <w:rPr>
                <w:b w:val="0"/>
                <w:sz w:val="17"/>
              </w:rPr>
              <w:t>Client budget owner and deputy</w:t>
            </w:r>
          </w:p>
        </w:tc>
        <w:tc>
          <w:tcPr>
            <w:tcW w:type="dxa" w:w="7370"/>
          </w:tcPr>
          <w:p>
            <w:pPr>
              <w:spacing w:before="0" w:after="0" w:line="252" w:lineRule="auto"/>
            </w:pPr>
            <w:r>
              <w:rPr>
                <w:b w:val="0"/>
                <w:sz w:val="17"/>
                <w:highlight w:val="yellow"/>
              </w:rPr>
              <w:t>[names]</w:t>
            </w:r>
          </w:p>
        </w:tc>
      </w:tr>
      <w:tr>
        <w:tc>
          <w:tcPr>
            <w:tcW w:type="dxa" w:w="2835"/>
          </w:tcPr>
          <w:p>
            <w:pPr>
              <w:spacing w:before="0" w:after="0" w:line="252" w:lineRule="auto"/>
            </w:pPr>
            <w:r>
              <w:rPr>
                <w:b w:val="0"/>
                <w:sz w:val="17"/>
              </w:rPr>
              <w:t>Client finance contact</w:t>
            </w:r>
          </w:p>
        </w:tc>
        <w:tc>
          <w:tcPr>
            <w:tcW w:type="dxa" w:w="7370"/>
          </w:tcPr>
          <w:p>
            <w:pPr>
              <w:spacing w:before="0" w:after="0" w:line="252" w:lineRule="auto"/>
            </w:pPr>
            <w:r>
              <w:rPr>
                <w:b w:val="0"/>
                <w:sz w:val="17"/>
                <w:highlight w:val="yellow"/>
              </w:rPr>
              <w:t>[name]</w:t>
            </w:r>
          </w:p>
        </w:tc>
      </w:tr>
      <w:tr>
        <w:tc>
          <w:tcPr>
            <w:tcW w:type="dxa" w:w="2835"/>
          </w:tcPr>
          <w:p>
            <w:pPr>
              <w:spacing w:before="0" w:after="0" w:line="252" w:lineRule="auto"/>
            </w:pPr>
            <w:r>
              <w:rPr>
                <w:b w:val="0"/>
                <w:sz w:val="17"/>
              </w:rPr>
              <w:t>Response times</w:t>
            </w:r>
          </w:p>
        </w:tc>
        <w:tc>
          <w:tcPr>
            <w:tcW w:type="dxa" w:w="7370"/>
          </w:tcPr>
          <w:p>
            <w:pPr>
              <w:spacing w:before="0" w:after="0" w:line="252" w:lineRule="auto"/>
            </w:pPr>
            <w:r>
              <w:rPr>
                <w:b w:val="0"/>
                <w:sz w:val="17"/>
              </w:rPr>
              <w:t xml:space="preserve">Class 1 </w:t>
            </w:r>
            <w:r>
              <w:rPr>
                <w:b w:val="0"/>
                <w:sz w:val="17"/>
                <w:highlight w:val="yellow"/>
              </w:rPr>
              <w:t>[1 working day]</w:t>
            </w:r>
            <w:r>
              <w:rPr>
                <w:b w:val="0"/>
                <w:sz w:val="17"/>
              </w:rPr>
              <w:t xml:space="preserve">; Class 2 </w:t>
            </w:r>
            <w:r>
              <w:rPr>
                <w:b w:val="0"/>
                <w:sz w:val="17"/>
                <w:highlight w:val="yellow"/>
              </w:rPr>
              <w:t>[2 working days]</w:t>
            </w:r>
          </w:p>
        </w:tc>
      </w:tr>
      <w:tr>
        <w:tc>
          <w:tcPr>
            <w:tcW w:type="dxa" w:w="2835"/>
          </w:tcPr>
          <w:p>
            <w:pPr>
              <w:spacing w:before="0" w:after="0" w:line="252" w:lineRule="auto"/>
            </w:pPr>
            <w:r>
              <w:rPr>
                <w:b w:val="0"/>
                <w:sz w:val="17"/>
              </w:rPr>
              <w:t>Protected campaigns</w:t>
            </w:r>
          </w:p>
        </w:tc>
        <w:tc>
          <w:tcPr>
            <w:tcW w:type="dxa" w:w="7370"/>
          </w:tcPr>
          <w:p>
            <w:pPr>
              <w:spacing w:before="0" w:after="0" w:line="252" w:lineRule="auto"/>
            </w:pPr>
            <w:r>
              <w:rPr>
                <w:b w:val="0"/>
                <w:sz w:val="17"/>
                <w:highlight w:val="yellow"/>
              </w:rPr>
              <w:t>[list]</w:t>
            </w:r>
          </w:p>
        </w:tc>
      </w:tr>
      <w:tr>
        <w:tc>
          <w:tcPr>
            <w:tcW w:type="dxa" w:w="2835"/>
          </w:tcPr>
          <w:p>
            <w:pPr>
              <w:spacing w:before="0" w:after="0" w:line="252" w:lineRule="auto"/>
            </w:pPr>
            <w:r>
              <w:rPr>
                <w:b w:val="0"/>
                <w:sz w:val="17"/>
              </w:rPr>
              <w:t>Signed</w:t>
            </w:r>
          </w:p>
        </w:tc>
        <w:tc>
          <w:tcPr>
            <w:tcW w:type="dxa" w:w="7370"/>
          </w:tcPr>
          <w:p>
            <w:pPr>
              <w:spacing w:before="0" w:after="0" w:line="252" w:lineRule="auto"/>
            </w:pPr>
            <w:r>
              <w:rPr>
                <w:b w:val="0"/>
                <w:sz w:val="17"/>
                <w:highlight w:val="yellow"/>
              </w:rPr>
              <w:t>[agency, date]</w:t>
            </w:r>
            <w:r>
              <w:rPr>
                <w:b w:val="0"/>
                <w:sz w:val="17"/>
              </w:rPr>
              <w:t xml:space="preserve"> · </w:t>
            </w:r>
            <w:r>
              <w:rPr>
                <w:b w:val="0"/>
                <w:sz w:val="17"/>
                <w:highlight w:val="yellow"/>
              </w:rPr>
              <w:t>[client, date]</w:t>
            </w:r>
          </w:p>
        </w:tc>
      </w:tr>
    </w:tbl>
    <w:p>
      <w:pPr>
        <w:spacing w:before="0" w:after="0" w:line="144" w:lineRule="auto"/>
      </w:pPr>
    </w:p>
    <w:sectPr w:rsidR="00FC693F" w:rsidRPr="0006063C" w:rsidSect="00034616">
      <w:footerReference w:type="default" r:id="rId9"/>
      <w:pgSz w:w="11906" w:h="16838"/>
      <w:pgMar w:top="850" w:right="850" w:bottom="850"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F6A5E"/>
        <w:sz w:val="16"/>
      </w:rPr>
      <w:t>Template by Nupact · nupact.ai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1B2A38"/>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eastAsia="Arial" w:cs="Arial"/>
      <w:b/>
      <w:bCs/>
      <w:color w:val="1B2A38"/>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1B2A38"/>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nupact.ai/guides/paid-media-approval-policy-templ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Paid media change approval policy</dc:title>
  <dc:subject/>
  <dc:creator>Nupact</dc:creator>
  <cp:keywords/>
  <dc:description>Template by Nupact · nupact.ai</dc:description>
  <cp:lastModifiedBy>Nupact</cp:lastModifiedBy>
  <cp:revision>1</cp:revision>
  <dcterms:created xsi:type="dcterms:W3CDTF">2026-10-24T07:00:00Z</dcterms:created>
  <dcterms:modified xsi:type="dcterms:W3CDTF">2026-10-24T07:00:00Z</dcterms:modified>
  <cp:category/>
</cp:coreProperties>
</file>